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04470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0447020"/>
                    </a:xfrm>
                    <a:prstGeom prst="rect">
                      <a:avLst/>
                    </a:prstGeom>
                    <a:noFill/>
                  </pic:spPr>
                </pic:pic>
              </a:graphicData>
            </a:graphic>
          </wp:anchor>
        </w:drawing>
        <w:t>Index</w:t>
      </w:r>
    </w:p>
    <w:p>
      <w:pPr>
        <w:spacing w:after="0" w:line="200" w:lineRule="exact"/>
        <w:rPr>
          <w:sz w:val="24"/>
          <w:szCs w:val="24"/>
          <w:color w:val="auto"/>
        </w:rPr>
      </w:pPr>
    </w:p>
    <w:p>
      <w:pPr>
        <w:spacing w:after="0" w:line="282" w:lineRule="exact"/>
        <w:rPr>
          <w:sz w:val="24"/>
          <w:szCs w:val="24"/>
          <w:color w:val="auto"/>
        </w:rPr>
      </w:pPr>
    </w:p>
    <w:p>
      <w:pPr>
        <w:jc w:val="center"/>
        <w:ind w:right="60"/>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Washington, DC 20549</w:t>
      </w:r>
    </w:p>
    <w:p>
      <w:pPr>
        <w:spacing w:after="0" w:line="18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FORM 10-Q</w:t>
      </w:r>
    </w:p>
    <w:p>
      <w:pPr>
        <w:spacing w:after="0" w:line="256" w:lineRule="exact"/>
        <w:rPr>
          <w:sz w:val="24"/>
          <w:szCs w:val="24"/>
          <w:color w:val="auto"/>
        </w:rPr>
      </w:pPr>
    </w:p>
    <w:p>
      <w:pPr>
        <w:ind w:right="2300" w:firstLine="7"/>
        <w:spacing w:after="0" w:line="276" w:lineRule="auto"/>
        <w:tabs>
          <w:tab w:leader="none" w:pos="661"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Quarterly report pursuant to Section 13 or 15(d) of the Securities Exchange Act of 1934 For the quarterly period ended </w:t>
      </w:r>
      <w:r>
        <w:rPr>
          <w:rFonts w:ascii="Arial" w:cs="Arial" w:eastAsia="Arial" w:hAnsi="Arial"/>
          <w:sz w:val="18"/>
          <w:szCs w:val="18"/>
          <w:b w:val="1"/>
          <w:bCs w:val="1"/>
          <w:color w:val="auto"/>
        </w:rPr>
        <w:t>November 26, 2022</w:t>
      </w:r>
    </w:p>
    <w:p>
      <w:pPr>
        <w:spacing w:after="0" w:line="172"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or</w:t>
      </w:r>
    </w:p>
    <w:p>
      <w:pPr>
        <w:spacing w:after="0" w:line="252" w:lineRule="exact"/>
        <w:rPr>
          <w:sz w:val="24"/>
          <w:szCs w:val="24"/>
          <w:color w:val="auto"/>
        </w:rPr>
      </w:pPr>
    </w:p>
    <w:p>
      <w:pPr>
        <w:ind w:right="2240" w:firstLine="7"/>
        <w:spacing w:after="0" w:line="188" w:lineRule="auto"/>
        <w:tabs>
          <w:tab w:leader="none" w:pos="661" w:val="left"/>
        </w:tabs>
        <w:numPr>
          <w:ilvl w:val="0"/>
          <w:numId w:val="2"/>
        </w:numPr>
        <w:rPr>
          <w:rFonts w:ascii="MS PGothic" w:cs="MS PGothic" w:eastAsia="MS PGothic" w:hAnsi="MS PGothic"/>
          <w:sz w:val="36"/>
          <w:szCs w:val="36"/>
          <w:color w:val="auto"/>
          <w:vertAlign w:val="superscript"/>
        </w:rPr>
      </w:pPr>
      <w:r>
        <w:rPr>
          <w:rFonts w:ascii="Arial" w:cs="Arial" w:eastAsia="Arial" w:hAnsi="Arial"/>
          <w:sz w:val="18"/>
          <w:szCs w:val="18"/>
          <w:color w:val="auto"/>
        </w:rPr>
        <w:t>Transition report pursuant to Section 13 or 15(d) of the Securities Exchange Act of 1934 For the transition period from ____________ to ____________</w:t>
      </w:r>
    </w:p>
    <w:p>
      <w:pPr>
        <w:spacing w:after="0" w:line="204"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Commission File Number: 001-38695</w:t>
      </w:r>
    </w:p>
    <w:p>
      <w:pPr>
        <w:spacing w:after="0" w:line="262"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CAL-MAINE FOODS, INC.</w:t>
      </w:r>
    </w:p>
    <w:p>
      <w:pPr>
        <w:spacing w:after="0" w:line="27" w:lineRule="exact"/>
        <w:rPr>
          <w:sz w:val="24"/>
          <w:szCs w:val="24"/>
          <w:color w:val="auto"/>
        </w:rPr>
      </w:pPr>
    </w:p>
    <w:p>
      <w:pPr>
        <w:jc w:val="center"/>
        <w:ind w:right="60"/>
        <w:spacing w:after="0"/>
        <w:rPr>
          <w:sz w:val="20"/>
          <w:szCs w:val="20"/>
          <w:color w:val="auto"/>
        </w:rPr>
      </w:pPr>
      <w:r>
        <w:rPr>
          <w:rFonts w:ascii="Arial" w:cs="Arial" w:eastAsia="Arial" w:hAnsi="Arial"/>
          <w:sz w:val="18"/>
          <w:szCs w:val="18"/>
          <w:color w:val="auto"/>
        </w:rPr>
        <w:t>(Exact name of registrant as specified in its charter)</w:t>
      </w:r>
    </w:p>
    <w:p>
      <w:pPr>
        <w:spacing w:after="0" w:line="248" w:lineRule="exact"/>
        <w:rPr>
          <w:sz w:val="24"/>
          <w:szCs w:val="24"/>
          <w:color w:val="auto"/>
        </w:rPr>
      </w:pPr>
    </w:p>
    <w:p>
      <w:pPr>
        <w:ind w:left="1780"/>
        <w:spacing w:after="0"/>
        <w:tabs>
          <w:tab w:leader="none" w:pos="6520" w:val="left"/>
        </w:tabs>
        <w:rPr>
          <w:sz w:val="20"/>
          <w:szCs w:val="20"/>
          <w:color w:val="auto"/>
        </w:rPr>
      </w:pPr>
      <w:r>
        <w:rPr>
          <w:rFonts w:ascii="Arial" w:cs="Arial" w:eastAsia="Arial" w:hAnsi="Arial"/>
          <w:sz w:val="18"/>
          <w:szCs w:val="18"/>
          <w:b w:val="1"/>
          <w:bCs w:val="1"/>
          <w:color w:val="auto"/>
        </w:rPr>
        <w:t>Delaware</w:t>
      </w:r>
      <w:r>
        <w:rPr>
          <w:sz w:val="20"/>
          <w:szCs w:val="20"/>
          <w:color w:val="auto"/>
        </w:rPr>
        <w:tab/>
      </w:r>
      <w:r>
        <w:rPr>
          <w:rFonts w:ascii="Arial" w:cs="Arial" w:eastAsia="Arial" w:hAnsi="Arial"/>
          <w:sz w:val="18"/>
          <w:szCs w:val="18"/>
          <w:b w:val="1"/>
          <w:bCs w:val="1"/>
          <w:color w:val="auto"/>
        </w:rPr>
        <w:t>64-0500378</w:t>
      </w:r>
    </w:p>
    <w:p>
      <w:pPr>
        <w:spacing w:after="0" w:line="54" w:lineRule="exact"/>
        <w:rPr>
          <w:sz w:val="24"/>
          <w:szCs w:val="24"/>
          <w:color w:val="auto"/>
        </w:rPr>
      </w:pPr>
    </w:p>
    <w:p>
      <w:pPr>
        <w:spacing w:after="0"/>
        <w:tabs>
          <w:tab w:leader="none" w:pos="5680" w:val="left"/>
        </w:tabs>
        <w:rPr>
          <w:sz w:val="20"/>
          <w:szCs w:val="20"/>
          <w:color w:val="auto"/>
        </w:rPr>
      </w:pPr>
      <w:r>
        <w:rPr>
          <w:rFonts w:ascii="Arial" w:cs="Arial" w:eastAsia="Arial" w:hAnsi="Arial"/>
          <w:sz w:val="18"/>
          <w:szCs w:val="18"/>
          <w:color w:val="auto"/>
        </w:rPr>
        <w:t>(State or other jurisdiction of incorporation or organization)</w:t>
      </w:r>
      <w:r>
        <w:rPr>
          <w:sz w:val="20"/>
          <w:szCs w:val="20"/>
          <w:color w:val="auto"/>
        </w:rPr>
        <w:tab/>
      </w:r>
      <w:r>
        <w:rPr>
          <w:rFonts w:ascii="Arial" w:cs="Arial" w:eastAsia="Arial" w:hAnsi="Arial"/>
          <w:sz w:val="16"/>
          <w:szCs w:val="16"/>
          <w:color w:val="auto"/>
        </w:rPr>
        <w:t>(I.R.S Employer Identification No.)</w:t>
      </w:r>
    </w:p>
    <w:p>
      <w:pPr>
        <w:spacing w:after="0" w:line="329" w:lineRule="exact"/>
        <w:rPr>
          <w:sz w:val="24"/>
          <w:szCs w:val="24"/>
          <w:color w:val="auto"/>
        </w:rPr>
      </w:pPr>
    </w:p>
    <w:p>
      <w:pPr>
        <w:ind w:left="2280"/>
        <w:spacing w:after="0"/>
        <w:rPr>
          <w:sz w:val="20"/>
          <w:szCs w:val="20"/>
          <w:color w:val="auto"/>
        </w:rPr>
      </w:pPr>
      <w:r>
        <w:rPr>
          <w:rFonts w:ascii="Arial" w:cs="Arial" w:eastAsia="Arial" w:hAnsi="Arial"/>
          <w:sz w:val="18"/>
          <w:szCs w:val="18"/>
          <w:b w:val="1"/>
          <w:bCs w:val="1"/>
          <w:color w:val="auto"/>
        </w:rPr>
        <w:t>1052 Highland Colony Pkwy, Suite 200, Ridgeland, Mississippi 39157</w:t>
      </w:r>
    </w:p>
    <w:p>
      <w:pPr>
        <w:spacing w:after="0" w:line="27" w:lineRule="exact"/>
        <w:rPr>
          <w:sz w:val="24"/>
          <w:szCs w:val="24"/>
          <w:color w:val="auto"/>
        </w:rPr>
      </w:pPr>
    </w:p>
    <w:p>
      <w:pPr>
        <w:ind w:left="2360"/>
        <w:spacing w:after="0"/>
        <w:tabs>
          <w:tab w:leader="none" w:pos="6060" w:val="left"/>
        </w:tabs>
        <w:rPr>
          <w:sz w:val="20"/>
          <w:szCs w:val="20"/>
          <w:color w:val="auto"/>
        </w:rPr>
      </w:pPr>
      <w:r>
        <w:rPr>
          <w:rFonts w:ascii="Arial" w:cs="Arial" w:eastAsia="Arial" w:hAnsi="Arial"/>
          <w:sz w:val="18"/>
          <w:szCs w:val="18"/>
          <w:color w:val="auto"/>
        </w:rPr>
        <w:t>(Address of principal executive offices)</w:t>
      </w:r>
      <w:r>
        <w:rPr>
          <w:sz w:val="20"/>
          <w:szCs w:val="20"/>
          <w:color w:val="auto"/>
        </w:rPr>
        <w:tab/>
      </w:r>
      <w:r>
        <w:rPr>
          <w:rFonts w:ascii="Arial" w:cs="Arial" w:eastAsia="Arial" w:hAnsi="Arial"/>
          <w:sz w:val="16"/>
          <w:szCs w:val="16"/>
          <w:color w:val="auto"/>
        </w:rPr>
        <w:t>(Zip Code)</w:t>
      </w:r>
    </w:p>
    <w:p>
      <w:pPr>
        <w:spacing w:after="0" w:line="19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(601) 948-6813</w:t>
      </w:r>
    </w:p>
    <w:p>
      <w:pPr>
        <w:spacing w:after="0" w:line="27" w:lineRule="exact"/>
        <w:rPr>
          <w:sz w:val="24"/>
          <w:szCs w:val="24"/>
          <w:color w:val="auto"/>
        </w:rPr>
      </w:pPr>
    </w:p>
    <w:p>
      <w:pPr>
        <w:jc w:val="center"/>
        <w:ind w:right="60"/>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50" w:lineRule="exact"/>
        <w:rPr>
          <w:sz w:val="24"/>
          <w:szCs w:val="24"/>
          <w:color w:val="auto"/>
        </w:rPr>
      </w:pPr>
    </w:p>
    <w:tbl>
      <w:tblPr>
        <w:tblLayout w:type="fixed"/>
        <w:tblInd w:w="20" w:type="dxa"/>
        <w:tblCellMar>
          <w:top w:w="0" w:type="dxa"/>
          <w:left w:w="0" w:type="dxa"/>
          <w:bottom w:w="0" w:type="dxa"/>
          <w:right w:w="0" w:type="dxa"/>
        </w:tblCellMar>
      </w:tblPr>
      <w:tr>
        <w:trPr>
          <w:trHeight w:val="237"/>
        </w:trPr>
        <w:tc>
          <w:tcPr>
            <w:tcW w:w="3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60" w:type="dxa"/>
            <w:vAlign w:val="bottom"/>
          </w:tcPr>
          <w:p>
            <w:pPr>
              <w:spacing w:after="0"/>
              <w:rPr>
                <w:sz w:val="20"/>
                <w:szCs w:val="20"/>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Trading Symbol(s)</w:t>
            </w:r>
          </w:p>
        </w:tc>
        <w:tc>
          <w:tcPr>
            <w:tcW w:w="60" w:type="dxa"/>
            <w:vAlign w:val="bottom"/>
          </w:tcPr>
          <w:p>
            <w:pPr>
              <w:spacing w:after="0"/>
              <w:rPr>
                <w:sz w:val="20"/>
                <w:szCs w:val="20"/>
                <w:color w:val="auto"/>
              </w:rPr>
            </w:pPr>
          </w:p>
        </w:tc>
        <w:tc>
          <w:tcPr>
            <w:tcW w:w="3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43"/>
        </w:trPr>
        <w:tc>
          <w:tcPr>
            <w:tcW w:w="3760" w:type="dxa"/>
            <w:vAlign w:val="bottom"/>
          </w:tcPr>
          <w:p>
            <w:pPr>
              <w:jc w:val="center"/>
              <w:spacing w:after="0"/>
              <w:rPr>
                <w:sz w:val="20"/>
                <w:szCs w:val="20"/>
                <w:color w:val="auto"/>
              </w:rPr>
            </w:pPr>
            <w:r>
              <w:rPr>
                <w:rFonts w:ascii="Arial" w:cs="Arial" w:eastAsia="Arial" w:hAnsi="Arial"/>
                <w:sz w:val="18"/>
                <w:szCs w:val="18"/>
                <w:color w:val="auto"/>
                <w:w w:val="89"/>
              </w:rPr>
              <w:t>Common Stock, $0.01 par value per share</w:t>
            </w:r>
          </w:p>
        </w:tc>
        <w:tc>
          <w:tcPr>
            <w:tcW w:w="60" w:type="dxa"/>
            <w:vAlign w:val="bottom"/>
          </w:tcPr>
          <w:p>
            <w:pPr>
              <w:spacing w:after="0"/>
              <w:rPr>
                <w:sz w:val="21"/>
                <w:szCs w:val="21"/>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rPr>
              <w:t>CALM</w:t>
            </w:r>
          </w:p>
        </w:tc>
        <w:tc>
          <w:tcPr>
            <w:tcW w:w="60" w:type="dxa"/>
            <w:vAlign w:val="bottom"/>
          </w:tcPr>
          <w:p>
            <w:pPr>
              <w:spacing w:after="0"/>
              <w:rPr>
                <w:sz w:val="21"/>
                <w:szCs w:val="21"/>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w w:val="92"/>
              </w:rPr>
              <w:t>The NASDAQ Global Select Market</w:t>
            </w:r>
          </w:p>
        </w:tc>
      </w:tr>
    </w:tbl>
    <w:p>
      <w:pPr>
        <w:spacing w:after="0" w:line="324" w:lineRule="exact"/>
        <w:rPr>
          <w:sz w:val="24"/>
          <w:szCs w:val="24"/>
          <w:color w:val="auto"/>
        </w:rPr>
      </w:pPr>
    </w:p>
    <w:p>
      <w:pPr>
        <w:spacing w:after="0" w:line="279"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w:t>
      </w:r>
    </w:p>
    <w:p>
      <w:pPr>
        <w:spacing w:after="0" w:line="196" w:lineRule="exact"/>
        <w:tabs>
          <w:tab w:leader="none" w:pos="7360" w:val="left"/>
        </w:tabs>
        <w:rPr>
          <w:sz w:val="20"/>
          <w:szCs w:val="20"/>
          <w:color w:val="auto"/>
        </w:rPr>
      </w:pPr>
      <w:r>
        <w:rPr>
          <w:rFonts w:ascii="Arial" w:cs="Arial" w:eastAsia="Arial" w:hAnsi="Arial"/>
          <w:sz w:val="17"/>
          <w:szCs w:val="17"/>
          <w:color w:val="auto"/>
        </w:rPr>
        <w:t xml:space="preserve">file such reports), and (2) has been subject to such filing requirements for the past 90 days. 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54" w:lineRule="exact"/>
        <w:rPr>
          <w:sz w:val="24"/>
          <w:szCs w:val="24"/>
          <w:color w:val="auto"/>
        </w:rPr>
      </w:pPr>
    </w:p>
    <w:p>
      <w:pPr>
        <w:jc w:val="both"/>
        <w:ind w:right="60"/>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3" w:lineRule="exact"/>
        <w:rPr>
          <w:sz w:val="24"/>
          <w:szCs w:val="24"/>
          <w:color w:val="auto"/>
        </w:rPr>
      </w:pPr>
    </w:p>
    <w:p>
      <w:pPr>
        <w:jc w:val="both"/>
        <w:ind w:right="40"/>
        <w:spacing w:after="0" w:line="270"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p>
      <w:pPr>
        <w:ind w:left="640"/>
        <w:spacing w:after="0" w:line="207" w:lineRule="exact"/>
        <w:tabs>
          <w:tab w:leader="none" w:pos="3100" w:val="left"/>
          <w:tab w:leader="none" w:pos="6620" w:val="left"/>
          <w:tab w:leader="none" w:pos="8700" w:val="left"/>
        </w:tabs>
        <w:rPr>
          <w:sz w:val="20"/>
          <w:szCs w:val="20"/>
          <w:color w:val="auto"/>
        </w:rPr>
      </w:pPr>
      <w:r>
        <w:rPr>
          <w:rFonts w:ascii="Arial" w:cs="Arial" w:eastAsia="Arial" w:hAnsi="Arial"/>
          <w:sz w:val="18"/>
          <w:szCs w:val="18"/>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w:t>
      </w:r>
      <w:r>
        <w:rPr>
          <w:sz w:val="20"/>
          <w:szCs w:val="20"/>
          <w:color w:val="auto"/>
        </w:rPr>
        <w:tab/>
      </w:r>
      <w:r>
        <w:rPr>
          <w:rFonts w:ascii="MS PGothic" w:cs="MS PGothic" w:eastAsia="MS PGothic" w:hAnsi="MS PGothic"/>
          <w:sz w:val="16"/>
          <w:szCs w:val="16"/>
          <w:color w:val="auto"/>
        </w:rPr>
        <w:t>☐</w:t>
      </w:r>
    </w:p>
    <w:p>
      <w:pPr>
        <w:spacing w:after="0" w:line="111" w:lineRule="exact"/>
        <w:rPr>
          <w:sz w:val="24"/>
          <w:szCs w:val="24"/>
          <w:color w:val="auto"/>
        </w:rPr>
      </w:pPr>
    </w:p>
    <w:p>
      <w:pPr>
        <w:ind w:left="620"/>
        <w:spacing w:after="0" w:line="207" w:lineRule="exact"/>
        <w:tabs>
          <w:tab w:leader="none" w:pos="3100" w:val="left"/>
          <w:tab w:leader="none" w:pos="6120" w:val="left"/>
          <w:tab w:leader="none" w:pos="8700" w:val="left"/>
        </w:tabs>
        <w:rPr>
          <w:sz w:val="20"/>
          <w:szCs w:val="20"/>
          <w:color w:val="auto"/>
        </w:rPr>
      </w:pPr>
      <w:r>
        <w:rPr>
          <w:rFonts w:ascii="Arial" w:cs="Arial" w:eastAsia="Arial" w:hAnsi="Arial"/>
          <w:sz w:val="18"/>
          <w:szCs w:val="18"/>
          <w:color w:val="auto"/>
        </w:rPr>
        <w:t>Non –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Smaller reporting company</w:t>
      </w:r>
      <w:r>
        <w:rPr>
          <w:sz w:val="20"/>
          <w:szCs w:val="20"/>
          <w:color w:val="auto"/>
        </w:rPr>
        <w:tab/>
      </w:r>
      <w:r>
        <w:rPr>
          <w:rFonts w:ascii="MS PGothic" w:cs="MS PGothic" w:eastAsia="MS PGothic" w:hAnsi="MS PGothic"/>
          <w:sz w:val="16"/>
          <w:szCs w:val="16"/>
          <w:color w:val="auto"/>
        </w:rPr>
        <w:t>☐</w:t>
      </w:r>
    </w:p>
    <w:p>
      <w:pPr>
        <w:spacing w:after="0" w:line="185" w:lineRule="exact"/>
        <w:rPr>
          <w:sz w:val="24"/>
          <w:szCs w:val="24"/>
          <w:color w:val="auto"/>
        </w:rPr>
      </w:pPr>
    </w:p>
    <w:p>
      <w:pPr>
        <w:ind w:left="6140"/>
        <w:spacing w:after="0" w:line="207" w:lineRule="exact"/>
        <w:tabs>
          <w:tab w:leader="none" w:pos="870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00" w:lineRule="exact"/>
        <w:rPr>
          <w:sz w:val="24"/>
          <w:szCs w:val="24"/>
          <w:color w:val="auto"/>
        </w:rPr>
      </w:pPr>
    </w:p>
    <w:p>
      <w:pPr>
        <w:spacing w:after="0" w:line="206" w:lineRule="exact"/>
        <w:rPr>
          <w:sz w:val="24"/>
          <w:szCs w:val="24"/>
          <w:color w:val="auto"/>
        </w:rPr>
      </w:pPr>
    </w:p>
    <w:p>
      <w:pPr>
        <w:ind w:right="900"/>
        <w:spacing w:after="0" w:line="233" w:lineRule="auto"/>
        <w:rPr>
          <w:sz w:val="20"/>
          <w:szCs w:val="20"/>
          <w:color w:val="auto"/>
        </w:rPr>
      </w:pPr>
      <w:r>
        <w:rPr>
          <w:rFonts w:ascii="Arial" w:cs="Arial" w:eastAsia="Arial" w:hAnsi="Arial"/>
          <w:sz w:val="17"/>
          <w:szCs w:val="17"/>
          <w:color w:val="auto"/>
        </w:rPr>
        <w:t>If an emerging growth company, indicate by check mark if the registrant has elected not to use the extended transition period for complying with any new or revised financial accounting standards provided pursuant to</w:t>
      </w:r>
    </w:p>
    <w:p>
      <w:pPr>
        <w:spacing w:after="0" w:line="1" w:lineRule="exact"/>
        <w:rPr>
          <w:sz w:val="24"/>
          <w:szCs w:val="24"/>
          <w:color w:val="auto"/>
        </w:rPr>
      </w:pPr>
    </w:p>
    <w:p>
      <w:pPr>
        <w:ind w:right="680"/>
        <w:spacing w:after="0" w:line="239" w:lineRule="exact"/>
        <w:rPr>
          <w:sz w:val="20"/>
          <w:szCs w:val="20"/>
          <w:color w:val="auto"/>
        </w:rPr>
      </w:pPr>
      <w:r>
        <w:rPr>
          <w:rFonts w:ascii="Arial" w:cs="Arial" w:eastAsia="Arial" w:hAnsi="Arial"/>
          <w:sz w:val="18"/>
          <w:szCs w:val="18"/>
          <w:color w:val="auto"/>
        </w:rPr>
        <w:t xml:space="preserve">Section 13(a) of the Exchange Act </w:t>
      </w:r>
      <w:r>
        <w:rPr>
          <w:rFonts w:ascii="MS PGothic" w:cs="MS PGothic" w:eastAsia="MS PGothic" w:hAnsi="MS PGothic"/>
          <w:sz w:val="18"/>
          <w:szCs w:val="18"/>
          <w:color w:val="auto"/>
        </w:rPr>
        <w:t>☐</w:t>
      </w:r>
      <w:r>
        <w:rPr>
          <w:rFonts w:ascii="Arial" w:cs="Arial" w:eastAsia="Arial" w:hAnsi="Arial"/>
          <w:sz w:val="18"/>
          <w:szCs w:val="18"/>
          <w:color w:val="auto"/>
        </w:rPr>
        <w:t xml:space="preserve"> Indicate by check mark whether the registrant is a shell company (as defined in Rule 12b-2 of the Exchange Act).</w:t>
      </w:r>
    </w:p>
    <w:p>
      <w:pPr>
        <w:spacing w:after="0" w:line="2" w:lineRule="exact"/>
        <w:rPr>
          <w:sz w:val="24"/>
          <w:szCs w:val="24"/>
          <w:color w:val="auto"/>
        </w:rPr>
      </w:pPr>
    </w:p>
    <w:p>
      <w:pPr>
        <w:jc w:val="center"/>
        <w:ind w:right="20"/>
        <w:spacing w:after="0" w:line="403" w:lineRule="exact"/>
        <w:tabs>
          <w:tab w:leader="none" w:pos="3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35"/>
          <w:szCs w:val="35"/>
          <w:color w:val="auto"/>
          <w:vertAlign w:val="superscript"/>
        </w:rPr>
        <w:t>☐</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27"/>
          <w:szCs w:val="27"/>
          <w:color w:val="auto"/>
          <w:vertAlign w:val="superscript"/>
        </w:rPr>
        <w:t>☑</w:t>
      </w:r>
    </w:p>
    <w:p>
      <w:pPr>
        <w:spacing w:after="0" w:line="77" w:lineRule="exact"/>
        <w:rPr>
          <w:sz w:val="24"/>
          <w:szCs w:val="24"/>
          <w:color w:val="auto"/>
        </w:rPr>
      </w:pPr>
    </w:p>
    <w:p>
      <w:pPr>
        <w:ind w:right="40"/>
        <w:spacing w:after="0" w:line="258" w:lineRule="auto"/>
        <w:rPr>
          <w:sz w:val="20"/>
          <w:szCs w:val="20"/>
          <w:color w:val="auto"/>
        </w:rPr>
      </w:pPr>
      <w:r>
        <w:rPr>
          <w:rFonts w:ascii="Arial" w:cs="Arial" w:eastAsia="Arial" w:hAnsi="Arial"/>
          <w:sz w:val="18"/>
          <w:szCs w:val="18"/>
          <w:color w:val="auto"/>
        </w:rPr>
        <w:t>There were 44,130,149 shares of Common Stock, $0.01 par value, and 4,800,000 shares of Class A Common Stock, $0.01 par value, outstanding as of December 28, 2022.</w:t>
      </w:r>
    </w:p>
    <w:p>
      <w:pPr>
        <w:sectPr>
          <w:pgSz w:w="11900" w:h="16838" w:orient="portrait"/>
          <w:cols w:equalWidth="0" w:num="1">
            <w:col w:w="9280"/>
          </w:cols>
          <w:pgMar w:left="1320" w:top="423" w:right="1299" w:bottom="1440" w:gutter="0" w:footer="0" w:header="0"/>
        </w:sectPr>
      </w:pPr>
    </w:p>
    <w:p>
      <w:pPr>
        <w:spacing w:after="0" w:line="349" w:lineRule="exact"/>
        <w:rPr>
          <w:sz w:val="24"/>
          <w:szCs w:val="24"/>
          <w:color w:val="auto"/>
        </w:rPr>
      </w:pPr>
    </w:p>
    <w:p>
      <w:pPr>
        <w:jc w:val="center"/>
        <w:ind w:right="20"/>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9280"/>
          </w:cols>
          <w:pgMar w:left="1320" w:top="423" w:right="1299" w:bottom="1440" w:gutter="0" w:footer="0" w:header="0"/>
          <w:type w:val="continuous"/>
        </w:sectPr>
      </w:pPr>
    </w:p>
    <w:bookmarkStart w:id="1" w:name="page2"/>
    <w:bookmarkEnd w:id="1"/>
    <w:p>
      <w:pPr>
        <w:ind w:left="4420"/>
        <w:spacing w:after="0"/>
        <w:rPr>
          <w:sz w:val="20"/>
          <w:szCs w:val="20"/>
          <w:color w:val="auto"/>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00" w:type="dxa"/>
            <w:vAlign w:val="bottom"/>
            <w:tcBorders>
              <w:top w:val="single" w:sz="8" w:color="CCEEFF"/>
            </w:tcBorders>
            <w:gridSpan w:val="4"/>
            <w:shd w:val="clear" w:color="auto" w:fill="CCEEFF"/>
          </w:tcPr>
          <w:p>
            <w:pPr>
              <w:ind w:left="60"/>
              <w:spacing w:after="0"/>
              <w:rPr>
                <w:sz w:val="20"/>
                <w:szCs w:val="20"/>
                <w:color w:val="auto"/>
              </w:rPr>
            </w:pPr>
            <w:r>
              <w:rPr>
                <w:rFonts w:ascii="Arial" w:cs="Arial" w:eastAsia="Arial" w:hAnsi="Arial"/>
                <w:sz w:val="18"/>
                <w:szCs w:val="18"/>
                <w:b w:val="1"/>
                <w:bCs w:val="1"/>
                <w:color w:val="auto"/>
              </w:rPr>
              <w:t>Part I.</w:t>
            </w: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660" w:type="dxa"/>
            <w:vAlign w:val="bottom"/>
            <w:tcBorders>
              <w:top w:val="single" w:sz="8" w:color="CCEEFF"/>
            </w:tcBorders>
            <w:gridSpan w:val="25"/>
          </w:tcPr>
          <w:p>
            <w:pPr>
              <w:spacing w:after="0"/>
              <w:rPr>
                <w:sz w:val="20"/>
                <w:szCs w:val="20"/>
                <w:color w:val="auto"/>
              </w:rPr>
            </w:pPr>
            <w:r>
              <w:rPr>
                <w:rFonts w:ascii="Arial" w:cs="Arial" w:eastAsia="Arial" w:hAnsi="Arial"/>
                <w:sz w:val="18"/>
                <w:szCs w:val="18"/>
                <w:b w:val="1"/>
                <w:bCs w:val="1"/>
                <w:color w:val="auto"/>
              </w:rPr>
              <w:t>Financial Information</w:t>
            </w:r>
          </w:p>
        </w:tc>
        <w:tc>
          <w:tcPr>
            <w:tcW w:w="0" w:type="dxa"/>
            <w:vAlign w:val="bottom"/>
          </w:tcPr>
          <w:p>
            <w:pPr>
              <w:spacing w:after="0"/>
              <w:rPr>
                <w:sz w:val="1"/>
                <w:szCs w:val="1"/>
                <w:color w:val="auto"/>
              </w:rPr>
            </w:pPr>
          </w:p>
        </w:tc>
      </w:tr>
      <w:tr>
        <w:trPr>
          <w:trHeight w:val="392"/>
        </w:trPr>
        <w:tc>
          <w:tcPr>
            <w:tcW w:w="680" w:type="dxa"/>
            <w:vAlign w:val="bottom"/>
          </w:tcPr>
          <w:p>
            <w:pPr>
              <w:spacing w:after="0"/>
              <w:rPr>
                <w:sz w:val="24"/>
                <w:szCs w:val="24"/>
                <w:color w:val="auto"/>
              </w:rPr>
            </w:pPr>
          </w:p>
        </w:tc>
        <w:tc>
          <w:tcPr>
            <w:tcW w:w="820" w:type="dxa"/>
            <w:vAlign w:val="bottom"/>
            <w:gridSpan w:val="3"/>
          </w:tcPr>
          <w:p>
            <w:pPr>
              <w:spacing w:after="0"/>
              <w:rPr>
                <w:sz w:val="20"/>
                <w:szCs w:val="20"/>
                <w:color w:val="auto"/>
              </w:rPr>
            </w:pPr>
            <w:r>
              <w:rPr>
                <w:rFonts w:ascii="Arial" w:cs="Arial" w:eastAsia="Arial" w:hAnsi="Arial"/>
                <w:sz w:val="18"/>
                <w:szCs w:val="18"/>
                <w:color w:val="auto"/>
              </w:rPr>
              <w:t>Item 1.</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88"/>
              </w:rPr>
              <w:t>Financial Statements</w:t>
            </w:r>
          </w:p>
        </w:tc>
        <w:tc>
          <w:tcPr>
            <w:tcW w:w="5160" w:type="dxa"/>
            <w:vAlign w:val="bottom"/>
            <w:gridSpan w:val="20"/>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vMerge w:val="restart"/>
          </w:tcPr>
          <w:p>
            <w:pPr>
              <w:spacing w:after="0"/>
              <w:rPr>
                <w:sz w:val="18"/>
                <w:szCs w:val="18"/>
                <w:color w:val="auto"/>
              </w:rPr>
            </w:pPr>
          </w:p>
        </w:tc>
        <w:tc>
          <w:tcPr>
            <w:tcW w:w="6360" w:type="dxa"/>
            <w:vAlign w:val="bottom"/>
            <w:gridSpan w:val="23"/>
            <w:vMerge w:val="restart"/>
          </w:tcPr>
          <w:p>
            <w:pPr>
              <w:spacing w:after="0"/>
              <w:rPr>
                <w:sz w:val="20"/>
                <w:szCs w:val="20"/>
                <w:color w:val="auto"/>
              </w:rPr>
            </w:pPr>
            <w:r>
              <w:rPr>
                <w:rFonts w:ascii="Arial" w:cs="Arial" w:eastAsia="Arial" w:hAnsi="Arial"/>
                <w:sz w:val="18"/>
                <w:szCs w:val="18"/>
                <w:color w:val="0000FF"/>
              </w:rPr>
              <w:t>Condensed Consolidated Balance Sheets -</w:t>
            </w:r>
          </w:p>
        </w:tc>
        <w:tc>
          <w:tcPr>
            <w:tcW w:w="260" w:type="dxa"/>
            <w:vAlign w:val="bottom"/>
            <w:vMerge w:val="restart"/>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vMerge w:val="continue"/>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vMerge w:val="continue"/>
          </w:tcPr>
          <w:p>
            <w:pPr>
              <w:spacing w:after="0"/>
              <w:rPr>
                <w:sz w:val="9"/>
                <w:szCs w:val="9"/>
                <w:color w:val="auto"/>
              </w:rPr>
            </w:pPr>
          </w:p>
        </w:tc>
        <w:tc>
          <w:tcPr>
            <w:tcW w:w="6360" w:type="dxa"/>
            <w:vAlign w:val="bottom"/>
            <w:gridSpan w:val="23"/>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680" w:type="dxa"/>
            <w:vAlign w:val="bottom"/>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00" w:type="dxa"/>
            <w:vAlign w:val="bottom"/>
            <w:vMerge w:val="continue"/>
          </w:tcPr>
          <w:p>
            <w:pPr>
              <w:spacing w:after="0"/>
              <w:rPr>
                <w:sz w:val="7"/>
                <w:szCs w:val="7"/>
                <w:color w:val="auto"/>
              </w:rPr>
            </w:pPr>
          </w:p>
        </w:tc>
        <w:tc>
          <w:tcPr>
            <w:tcW w:w="6360" w:type="dxa"/>
            <w:vAlign w:val="bottom"/>
            <w:gridSpan w:val="23"/>
            <w:vMerge w:val="continue"/>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680" w:type="dxa"/>
            <w:vAlign w:val="bottom"/>
          </w:tcPr>
          <w:p>
            <w:pPr>
              <w:spacing w:after="0"/>
              <w:rPr>
                <w:sz w:val="8"/>
                <w:szCs w:val="8"/>
                <w:color w:val="auto"/>
              </w:rPr>
            </w:pPr>
          </w:p>
        </w:tc>
        <w:tc>
          <w:tcPr>
            <w:tcW w:w="760" w:type="dxa"/>
            <w:vAlign w:val="bottom"/>
            <w:tcBorders>
              <w:top w:val="single" w:sz="8" w:color="CCEEFF"/>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100" w:type="dxa"/>
            <w:vAlign w:val="bottom"/>
            <w:vMerge w:val="restart"/>
          </w:tcPr>
          <w:p>
            <w:pPr>
              <w:spacing w:after="0"/>
              <w:rPr>
                <w:sz w:val="8"/>
                <w:szCs w:val="8"/>
                <w:color w:val="auto"/>
              </w:rPr>
            </w:pPr>
          </w:p>
        </w:tc>
        <w:tc>
          <w:tcPr>
            <w:tcW w:w="2780" w:type="dxa"/>
            <w:vAlign w:val="bottom"/>
            <w:tcBorders>
              <w:top w:val="single" w:sz="8" w:color="0000FF"/>
            </w:tcBorders>
            <w:gridSpan w:val="7"/>
            <w:vMerge w:val="restart"/>
          </w:tcPr>
          <w:p>
            <w:pPr>
              <w:spacing w:after="0" w:line="176" w:lineRule="exact"/>
              <w:rPr>
                <w:sz w:val="20"/>
                <w:szCs w:val="20"/>
                <w:color w:val="auto"/>
              </w:rPr>
            </w:pPr>
            <w:r>
              <w:rPr>
                <w:rFonts w:ascii="Arial" w:cs="Arial" w:eastAsia="Arial" w:hAnsi="Arial"/>
                <w:sz w:val="18"/>
                <w:szCs w:val="18"/>
                <w:color w:val="0000FF"/>
                <w:w w:val="89"/>
              </w:rPr>
              <w:t>November 26, 2022 and May 28, 2022</w:t>
            </w:r>
          </w:p>
        </w:tc>
        <w:tc>
          <w:tcPr>
            <w:tcW w:w="240" w:type="dxa"/>
            <w:vAlign w:val="bottom"/>
            <w:tcBorders>
              <w:top w:val="single" w:sz="8" w:color="0000FF"/>
            </w:tcBorders>
            <w:gridSpan w:val="3"/>
            <w:vMerge w:val="restart"/>
          </w:tcPr>
          <w:p>
            <w:pPr>
              <w:spacing w:after="0"/>
              <w:rPr>
                <w:sz w:val="8"/>
                <w:szCs w:val="8"/>
                <w:color w:val="auto"/>
              </w:rPr>
            </w:pPr>
          </w:p>
        </w:tc>
        <w:tc>
          <w:tcPr>
            <w:tcW w:w="3340" w:type="dxa"/>
            <w:vAlign w:val="bottom"/>
            <w:gridSpan w:val="13"/>
            <w:vMerge w:val="restart"/>
          </w:tcPr>
          <w:p>
            <w:pPr>
              <w:spacing w:after="0"/>
              <w:rPr>
                <w:sz w:val="8"/>
                <w:szCs w:val="8"/>
                <w:color w:val="auto"/>
              </w:rPr>
            </w:pPr>
          </w:p>
        </w:tc>
        <w:tc>
          <w:tcPr>
            <w:tcW w:w="260" w:type="dxa"/>
            <w:vAlign w:val="bottom"/>
            <w:tcBorders>
              <w:top w:val="single" w:sz="8" w:color="CCEEFF"/>
            </w:tcBorders>
            <w:shd w:val="clear" w:color="auto" w:fill="CCEEFF"/>
          </w:tcPr>
          <w:p>
            <w:pPr>
              <w:spacing w:after="0"/>
              <w:rPr>
                <w:sz w:val="8"/>
                <w:szCs w:val="8"/>
                <w:color w:val="auto"/>
              </w:rPr>
            </w:pPr>
          </w:p>
        </w:tc>
        <w:tc>
          <w:tcPr>
            <w:tcW w:w="4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2780" w:type="dxa"/>
            <w:vAlign w:val="bottom"/>
            <w:tcBorders>
              <w:bottom w:val="single" w:sz="8" w:color="0000FF"/>
            </w:tcBorders>
            <w:gridSpan w:val="7"/>
            <w:vMerge w:val="continue"/>
          </w:tcPr>
          <w:p>
            <w:pPr>
              <w:spacing w:after="0"/>
              <w:rPr>
                <w:sz w:val="7"/>
                <w:szCs w:val="7"/>
                <w:color w:val="auto"/>
              </w:rPr>
            </w:pPr>
          </w:p>
        </w:tc>
        <w:tc>
          <w:tcPr>
            <w:tcW w:w="240" w:type="dxa"/>
            <w:vAlign w:val="bottom"/>
            <w:gridSpan w:val="3"/>
            <w:vMerge w:val="continue"/>
          </w:tcPr>
          <w:p>
            <w:pPr>
              <w:spacing w:after="0"/>
              <w:rPr>
                <w:sz w:val="7"/>
                <w:szCs w:val="7"/>
                <w:color w:val="auto"/>
              </w:rPr>
            </w:pPr>
          </w:p>
        </w:tc>
        <w:tc>
          <w:tcPr>
            <w:tcW w:w="3340" w:type="dxa"/>
            <w:vAlign w:val="bottom"/>
            <w:gridSpan w:val="13"/>
            <w:vMerge w:val="continue"/>
          </w:tcPr>
          <w:p>
            <w:pPr>
              <w:spacing w:after="0"/>
              <w:rPr>
                <w:sz w:val="7"/>
                <w:szCs w:val="7"/>
                <w:color w:val="auto"/>
              </w:rPr>
            </w:pPr>
          </w:p>
        </w:tc>
        <w:tc>
          <w:tcPr>
            <w:tcW w:w="260" w:type="dxa"/>
            <w:vAlign w:val="bottom"/>
          </w:tcPr>
          <w:p>
            <w:pPr>
              <w:spacing w:after="0"/>
              <w:rPr>
                <w:sz w:val="7"/>
                <w:szCs w:val="7"/>
                <w:color w:val="auto"/>
              </w:rPr>
            </w:pP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vMerge w:val="restart"/>
          </w:tcPr>
          <w:p>
            <w:pPr>
              <w:spacing w:after="0"/>
              <w:rPr>
                <w:sz w:val="18"/>
                <w:szCs w:val="18"/>
                <w:color w:val="auto"/>
              </w:rPr>
            </w:pPr>
          </w:p>
        </w:tc>
        <w:tc>
          <w:tcPr>
            <w:tcW w:w="6360" w:type="dxa"/>
            <w:vAlign w:val="bottom"/>
            <w:gridSpan w:val="23"/>
            <w:vMerge w:val="restart"/>
          </w:tcPr>
          <w:p>
            <w:pPr>
              <w:spacing w:after="0"/>
              <w:rPr>
                <w:sz w:val="20"/>
                <w:szCs w:val="20"/>
                <w:color w:val="auto"/>
              </w:rPr>
            </w:pPr>
            <w:r>
              <w:rPr>
                <w:rFonts w:ascii="Arial" w:cs="Arial" w:eastAsia="Arial" w:hAnsi="Arial"/>
                <w:sz w:val="18"/>
                <w:szCs w:val="18"/>
                <w:color w:val="0000FF"/>
              </w:rPr>
              <w:t>Condensed Consolidated Statements of Operations -</w:t>
            </w:r>
          </w:p>
        </w:tc>
        <w:tc>
          <w:tcPr>
            <w:tcW w:w="260" w:type="dxa"/>
            <w:vAlign w:val="bottom"/>
            <w:vMerge w:val="restart"/>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vMerge w:val="continue"/>
          </w:tcPr>
          <w:p>
            <w:pPr>
              <w:spacing w:after="0"/>
              <w:rPr>
                <w:sz w:val="9"/>
                <w:szCs w:val="9"/>
                <w:color w:val="auto"/>
              </w:rPr>
            </w:pPr>
          </w:p>
        </w:tc>
        <w:tc>
          <w:tcPr>
            <w:tcW w:w="6360" w:type="dxa"/>
            <w:vAlign w:val="bottom"/>
            <w:gridSpan w:val="23"/>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680" w:type="dxa"/>
            <w:vAlign w:val="bottom"/>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00" w:type="dxa"/>
            <w:vAlign w:val="bottom"/>
            <w:vMerge w:val="continue"/>
          </w:tcPr>
          <w:p>
            <w:pPr>
              <w:spacing w:after="0"/>
              <w:rPr>
                <w:sz w:val="7"/>
                <w:szCs w:val="7"/>
                <w:color w:val="auto"/>
              </w:rPr>
            </w:pPr>
          </w:p>
        </w:tc>
        <w:tc>
          <w:tcPr>
            <w:tcW w:w="6360" w:type="dxa"/>
            <w:vAlign w:val="bottom"/>
            <w:gridSpan w:val="23"/>
            <w:vMerge w:val="continue"/>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60" w:type="dxa"/>
            <w:vAlign w:val="bottom"/>
            <w:tcBorders>
              <w:bottom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CCEEFF"/>
            </w:tcBorders>
            <w:shd w:val="clear" w:color="auto" w:fill="CCEE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60" w:type="dxa"/>
            <w:vAlign w:val="bottom"/>
            <w:tcBorders>
              <w:bottom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vMerge w:val="restart"/>
          </w:tcPr>
          <w:p>
            <w:pPr>
              <w:spacing w:after="0"/>
              <w:rPr>
                <w:sz w:val="7"/>
                <w:szCs w:val="7"/>
                <w:color w:val="auto"/>
              </w:rPr>
            </w:pPr>
          </w:p>
        </w:tc>
        <w:tc>
          <w:tcPr>
            <w:tcW w:w="6360" w:type="dxa"/>
            <w:vAlign w:val="bottom"/>
            <w:gridSpan w:val="23"/>
            <w:vMerge w:val="restart"/>
          </w:tcPr>
          <w:p>
            <w:pPr>
              <w:spacing w:after="0" w:line="163" w:lineRule="exact"/>
              <w:rPr>
                <w:sz w:val="20"/>
                <w:szCs w:val="20"/>
                <w:color w:val="auto"/>
              </w:rPr>
            </w:pPr>
            <w:r>
              <w:rPr>
                <w:rFonts w:ascii="Arial" w:cs="Arial" w:eastAsia="Arial" w:hAnsi="Arial"/>
                <w:sz w:val="18"/>
                <w:szCs w:val="18"/>
                <w:color w:val="0000FF"/>
                <w:w w:val="94"/>
              </w:rPr>
              <w:t>Thirteen and Twenty-six Weeks Ended November 26, 2022 and November 27, 2021</w:t>
            </w:r>
          </w:p>
        </w:tc>
        <w:tc>
          <w:tcPr>
            <w:tcW w:w="260" w:type="dxa"/>
            <w:vAlign w:val="bottom"/>
            <w:shd w:val="clear" w:color="auto" w:fill="CCEEFF"/>
          </w:tcPr>
          <w:p>
            <w:pPr>
              <w:spacing w:after="0"/>
              <w:rPr>
                <w:sz w:val="7"/>
                <w:szCs w:val="7"/>
                <w:color w:val="auto"/>
              </w:rPr>
            </w:pPr>
          </w:p>
        </w:tc>
        <w:tc>
          <w:tcPr>
            <w:tcW w:w="4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6360" w:type="dxa"/>
            <w:vAlign w:val="bottom"/>
            <w:gridSpan w:val="23"/>
            <w:vMerge w:val="continue"/>
          </w:tcPr>
          <w:p>
            <w:pPr>
              <w:spacing w:after="0"/>
              <w:rPr>
                <w:sz w:val="7"/>
                <w:szCs w:val="7"/>
                <w:color w:val="auto"/>
              </w:rPr>
            </w:pPr>
          </w:p>
        </w:tc>
        <w:tc>
          <w:tcPr>
            <w:tcW w:w="260" w:type="dxa"/>
            <w:vAlign w:val="bottom"/>
          </w:tcPr>
          <w:p>
            <w:pPr>
              <w:spacing w:after="0"/>
              <w:rPr>
                <w:sz w:val="7"/>
                <w:szCs w:val="7"/>
                <w:color w:val="auto"/>
              </w:rPr>
            </w:pP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9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vMerge w:val="restart"/>
          </w:tcPr>
          <w:p>
            <w:pPr>
              <w:spacing w:after="0"/>
              <w:rPr>
                <w:sz w:val="18"/>
                <w:szCs w:val="18"/>
                <w:color w:val="auto"/>
              </w:rPr>
            </w:pPr>
          </w:p>
        </w:tc>
        <w:tc>
          <w:tcPr>
            <w:tcW w:w="6360" w:type="dxa"/>
            <w:vAlign w:val="bottom"/>
            <w:gridSpan w:val="23"/>
            <w:vMerge w:val="restart"/>
          </w:tcPr>
          <w:p>
            <w:pPr>
              <w:spacing w:after="0"/>
              <w:rPr>
                <w:sz w:val="20"/>
                <w:szCs w:val="20"/>
                <w:color w:val="auto"/>
              </w:rPr>
            </w:pPr>
            <w:r>
              <w:rPr>
                <w:rFonts w:ascii="Arial" w:cs="Arial" w:eastAsia="Arial" w:hAnsi="Arial"/>
                <w:sz w:val="18"/>
                <w:szCs w:val="18"/>
                <w:color w:val="0000FF"/>
              </w:rPr>
              <w:t>Condensed Consolidated Statements of Comprehensive Income (Loss) -</w:t>
            </w:r>
          </w:p>
        </w:tc>
        <w:tc>
          <w:tcPr>
            <w:tcW w:w="260" w:type="dxa"/>
            <w:vAlign w:val="bottom"/>
            <w:vMerge w:val="restart"/>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vMerge w:val="continue"/>
          </w:tcPr>
          <w:p>
            <w:pPr>
              <w:spacing w:after="0"/>
              <w:rPr>
                <w:sz w:val="9"/>
                <w:szCs w:val="9"/>
                <w:color w:val="auto"/>
              </w:rPr>
            </w:pPr>
          </w:p>
        </w:tc>
        <w:tc>
          <w:tcPr>
            <w:tcW w:w="6360" w:type="dxa"/>
            <w:vAlign w:val="bottom"/>
            <w:gridSpan w:val="23"/>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680" w:type="dxa"/>
            <w:vAlign w:val="bottom"/>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100" w:type="dxa"/>
            <w:vAlign w:val="bottom"/>
            <w:vMerge w:val="continue"/>
          </w:tcPr>
          <w:p>
            <w:pPr>
              <w:spacing w:after="0"/>
              <w:rPr>
                <w:sz w:val="5"/>
                <w:szCs w:val="5"/>
                <w:color w:val="auto"/>
              </w:rPr>
            </w:pPr>
          </w:p>
        </w:tc>
        <w:tc>
          <w:tcPr>
            <w:tcW w:w="6360" w:type="dxa"/>
            <w:vAlign w:val="bottom"/>
            <w:gridSpan w:val="23"/>
            <w:vMerge w:val="continue"/>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60" w:type="dxa"/>
            <w:vAlign w:val="bottom"/>
            <w:tcBorders>
              <w:bottom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CCEEFF"/>
            </w:tcBorders>
            <w:shd w:val="clear" w:color="auto" w:fill="CCEE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260" w:type="dxa"/>
            <w:vAlign w:val="bottom"/>
            <w:tcBorders>
              <w:left w:val="single" w:sz="8" w:color="0000FF"/>
            </w:tcBorders>
            <w:gridSpan w:val="3"/>
          </w:tcPr>
          <w:p>
            <w:pPr>
              <w:spacing w:after="0" w:line="20" w:lineRule="exact"/>
              <w:rPr>
                <w:sz w:val="1"/>
                <w:szCs w:val="1"/>
                <w:color w:val="auto"/>
              </w:rPr>
            </w:pPr>
          </w:p>
        </w:tc>
        <w:tc>
          <w:tcPr>
            <w:tcW w:w="260" w:type="dxa"/>
            <w:vAlign w:val="bottom"/>
            <w:tcBorders>
              <w:bottom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vMerge w:val="restart"/>
          </w:tcPr>
          <w:p>
            <w:pPr>
              <w:spacing w:after="0"/>
              <w:rPr>
                <w:sz w:val="8"/>
                <w:szCs w:val="8"/>
                <w:color w:val="auto"/>
              </w:rPr>
            </w:pPr>
          </w:p>
        </w:tc>
        <w:tc>
          <w:tcPr>
            <w:tcW w:w="6360" w:type="dxa"/>
            <w:vAlign w:val="bottom"/>
            <w:gridSpan w:val="23"/>
            <w:vMerge w:val="restart"/>
          </w:tcPr>
          <w:p>
            <w:pPr>
              <w:spacing w:after="0" w:line="176" w:lineRule="exact"/>
              <w:rPr>
                <w:sz w:val="20"/>
                <w:szCs w:val="20"/>
                <w:color w:val="auto"/>
              </w:rPr>
            </w:pPr>
            <w:r>
              <w:rPr>
                <w:rFonts w:ascii="Arial" w:cs="Arial" w:eastAsia="Arial" w:hAnsi="Arial"/>
                <w:sz w:val="18"/>
                <w:szCs w:val="18"/>
                <w:color w:val="0000FF"/>
                <w:w w:val="94"/>
              </w:rPr>
              <w:t>Thirteen and Twenty-six Weeks Ended November 26, 2022 and November 27, 2021</w:t>
            </w:r>
          </w:p>
        </w:tc>
        <w:tc>
          <w:tcPr>
            <w:tcW w:w="260" w:type="dxa"/>
            <w:vAlign w:val="bottom"/>
            <w:shd w:val="clear" w:color="auto" w:fill="CCEEFF"/>
          </w:tcPr>
          <w:p>
            <w:pPr>
              <w:spacing w:after="0"/>
              <w:rPr>
                <w:sz w:val="8"/>
                <w:szCs w:val="8"/>
                <w:color w:val="auto"/>
              </w:rPr>
            </w:pPr>
          </w:p>
        </w:tc>
        <w:tc>
          <w:tcPr>
            <w:tcW w:w="4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6360" w:type="dxa"/>
            <w:vAlign w:val="bottom"/>
            <w:gridSpan w:val="23"/>
            <w:vMerge w:val="continue"/>
          </w:tcPr>
          <w:p>
            <w:pPr>
              <w:spacing w:after="0"/>
              <w:rPr>
                <w:sz w:val="7"/>
                <w:szCs w:val="7"/>
                <w:color w:val="auto"/>
              </w:rPr>
            </w:pPr>
          </w:p>
        </w:tc>
        <w:tc>
          <w:tcPr>
            <w:tcW w:w="260" w:type="dxa"/>
            <w:vAlign w:val="bottom"/>
          </w:tcPr>
          <w:p>
            <w:pPr>
              <w:spacing w:after="0"/>
              <w:rPr>
                <w:sz w:val="7"/>
                <w:szCs w:val="7"/>
                <w:color w:val="auto"/>
              </w:rPr>
            </w:pP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9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vMerge w:val="restart"/>
          </w:tcPr>
          <w:p>
            <w:pPr>
              <w:spacing w:after="0"/>
              <w:rPr>
                <w:sz w:val="18"/>
                <w:szCs w:val="18"/>
                <w:color w:val="auto"/>
              </w:rPr>
            </w:pPr>
          </w:p>
        </w:tc>
        <w:tc>
          <w:tcPr>
            <w:tcW w:w="6360" w:type="dxa"/>
            <w:vAlign w:val="bottom"/>
            <w:gridSpan w:val="23"/>
            <w:vMerge w:val="restart"/>
          </w:tcPr>
          <w:p>
            <w:pPr>
              <w:spacing w:after="0"/>
              <w:rPr>
                <w:sz w:val="20"/>
                <w:szCs w:val="20"/>
                <w:color w:val="auto"/>
              </w:rPr>
            </w:pPr>
            <w:r>
              <w:rPr>
                <w:rFonts w:ascii="Arial" w:cs="Arial" w:eastAsia="Arial" w:hAnsi="Arial"/>
                <w:sz w:val="18"/>
                <w:szCs w:val="18"/>
                <w:color w:val="0000FF"/>
              </w:rPr>
              <w:t>Condensed Consolidated Statements of Cash Flows -</w:t>
            </w:r>
          </w:p>
        </w:tc>
        <w:tc>
          <w:tcPr>
            <w:tcW w:w="260" w:type="dxa"/>
            <w:vAlign w:val="bottom"/>
            <w:vMerge w:val="restart"/>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vMerge w:val="continue"/>
          </w:tcPr>
          <w:p>
            <w:pPr>
              <w:spacing w:after="0"/>
              <w:rPr>
                <w:sz w:val="9"/>
                <w:szCs w:val="9"/>
                <w:color w:val="auto"/>
              </w:rPr>
            </w:pPr>
          </w:p>
        </w:tc>
        <w:tc>
          <w:tcPr>
            <w:tcW w:w="6360" w:type="dxa"/>
            <w:vAlign w:val="bottom"/>
            <w:gridSpan w:val="23"/>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680" w:type="dxa"/>
            <w:vAlign w:val="bottom"/>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vMerge w:val="continue"/>
          </w:tcPr>
          <w:p>
            <w:pPr>
              <w:spacing w:after="0"/>
              <w:rPr>
                <w:sz w:val="8"/>
                <w:szCs w:val="8"/>
                <w:color w:val="auto"/>
              </w:rPr>
            </w:pPr>
          </w:p>
        </w:tc>
        <w:tc>
          <w:tcPr>
            <w:tcW w:w="6360" w:type="dxa"/>
            <w:vAlign w:val="bottom"/>
            <w:gridSpan w:val="23"/>
            <w:vMerge w:val="continue"/>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680" w:type="dxa"/>
            <w:vAlign w:val="bottom"/>
          </w:tcPr>
          <w:p>
            <w:pPr>
              <w:spacing w:after="0"/>
              <w:rPr>
                <w:sz w:val="7"/>
                <w:szCs w:val="7"/>
                <w:color w:val="auto"/>
              </w:rPr>
            </w:pPr>
          </w:p>
        </w:tc>
        <w:tc>
          <w:tcPr>
            <w:tcW w:w="760" w:type="dxa"/>
            <w:vAlign w:val="bottom"/>
            <w:tcBorders>
              <w:top w:val="single" w:sz="8" w:color="CCEEFF"/>
            </w:tcBorders>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Borders>
              <w:top w:val="single" w:sz="8" w:color="CCEEFF"/>
            </w:tcBorders>
          </w:tcPr>
          <w:p>
            <w:pPr>
              <w:spacing w:after="0"/>
              <w:rPr>
                <w:sz w:val="7"/>
                <w:szCs w:val="7"/>
                <w:color w:val="auto"/>
              </w:rPr>
            </w:pPr>
          </w:p>
        </w:tc>
        <w:tc>
          <w:tcPr>
            <w:tcW w:w="100" w:type="dxa"/>
            <w:vAlign w:val="bottom"/>
            <w:vMerge w:val="restart"/>
          </w:tcPr>
          <w:p>
            <w:pPr>
              <w:spacing w:after="0"/>
              <w:rPr>
                <w:sz w:val="7"/>
                <w:szCs w:val="7"/>
                <w:color w:val="auto"/>
              </w:rPr>
            </w:pPr>
          </w:p>
        </w:tc>
        <w:tc>
          <w:tcPr>
            <w:tcW w:w="3800" w:type="dxa"/>
            <w:vAlign w:val="bottom"/>
            <w:tcBorders>
              <w:top w:val="single" w:sz="8" w:color="0000FF"/>
            </w:tcBorders>
            <w:gridSpan w:val="16"/>
            <w:vMerge w:val="restart"/>
          </w:tcPr>
          <w:p>
            <w:pPr>
              <w:spacing w:after="0" w:line="163" w:lineRule="exact"/>
              <w:rPr>
                <w:sz w:val="20"/>
                <w:szCs w:val="20"/>
                <w:color w:val="auto"/>
              </w:rPr>
            </w:pPr>
            <w:r>
              <w:rPr>
                <w:rFonts w:ascii="Arial" w:cs="Arial" w:eastAsia="Arial" w:hAnsi="Arial"/>
                <w:sz w:val="18"/>
                <w:szCs w:val="18"/>
                <w:color w:val="0000FF"/>
                <w:w w:val="94"/>
              </w:rPr>
              <w:t>Twenty-six Weeks Ended November 26, 2022 and</w:t>
            </w:r>
          </w:p>
        </w:tc>
        <w:tc>
          <w:tcPr>
            <w:tcW w:w="2560" w:type="dxa"/>
            <w:vAlign w:val="bottom"/>
            <w:gridSpan w:val="7"/>
            <w:vMerge w:val="restart"/>
          </w:tcPr>
          <w:p>
            <w:pPr>
              <w:spacing w:after="0" w:line="163" w:lineRule="exact"/>
              <w:rPr>
                <w:sz w:val="20"/>
                <w:szCs w:val="20"/>
                <w:color w:val="auto"/>
              </w:rPr>
            </w:pPr>
            <w:r>
              <w:rPr>
                <w:rFonts w:ascii="Arial" w:cs="Arial" w:eastAsia="Arial" w:hAnsi="Arial"/>
                <w:sz w:val="18"/>
                <w:szCs w:val="18"/>
                <w:color w:val="0000FF"/>
              </w:rPr>
              <w:t>November 27, 2021</w:t>
            </w:r>
          </w:p>
        </w:tc>
        <w:tc>
          <w:tcPr>
            <w:tcW w:w="260" w:type="dxa"/>
            <w:vAlign w:val="bottom"/>
            <w:tcBorders>
              <w:top w:val="single" w:sz="8" w:color="CCEEFF"/>
            </w:tcBorders>
            <w:shd w:val="clear" w:color="auto" w:fill="CCEEFF"/>
          </w:tcPr>
          <w:p>
            <w:pPr>
              <w:spacing w:after="0"/>
              <w:rPr>
                <w:sz w:val="7"/>
                <w:szCs w:val="7"/>
                <w:color w:val="auto"/>
              </w:rPr>
            </w:pPr>
          </w:p>
        </w:tc>
        <w:tc>
          <w:tcPr>
            <w:tcW w:w="4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3800" w:type="dxa"/>
            <w:vAlign w:val="bottom"/>
            <w:gridSpan w:val="16"/>
            <w:vMerge w:val="continue"/>
          </w:tcPr>
          <w:p>
            <w:pPr>
              <w:spacing w:after="0"/>
              <w:rPr>
                <w:sz w:val="7"/>
                <w:szCs w:val="7"/>
                <w:color w:val="auto"/>
              </w:rPr>
            </w:pPr>
          </w:p>
        </w:tc>
        <w:tc>
          <w:tcPr>
            <w:tcW w:w="2560" w:type="dxa"/>
            <w:vAlign w:val="bottom"/>
            <w:gridSpan w:val="7"/>
            <w:vMerge w:val="continue"/>
          </w:tcPr>
          <w:p>
            <w:pPr>
              <w:spacing w:after="0"/>
              <w:rPr>
                <w:sz w:val="7"/>
                <w:szCs w:val="7"/>
                <w:color w:val="auto"/>
              </w:rPr>
            </w:pPr>
          </w:p>
        </w:tc>
        <w:tc>
          <w:tcPr>
            <w:tcW w:w="260" w:type="dxa"/>
            <w:vAlign w:val="bottom"/>
          </w:tcPr>
          <w:p>
            <w:pPr>
              <w:spacing w:after="0"/>
              <w:rPr>
                <w:sz w:val="7"/>
                <w:szCs w:val="7"/>
                <w:color w:val="auto"/>
              </w:rPr>
            </w:pP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60" w:type="dxa"/>
            <w:vAlign w:val="bottom"/>
            <w:gridSpan w:val="5"/>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5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98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w w:val="88"/>
              </w:rPr>
              <w:t>Notes to Condensed Consolidated Financial Statements</w:t>
            </w:r>
          </w:p>
        </w:tc>
        <w:tc>
          <w:tcPr>
            <w:tcW w:w="268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40" w:type="dxa"/>
            <w:vAlign w:val="bottom"/>
            <w:vMerge w:val="restart"/>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vMerge w:val="restart"/>
          </w:tcPr>
          <w:p>
            <w:pPr>
              <w:spacing w:after="0"/>
              <w:rPr>
                <w:sz w:val="18"/>
                <w:szCs w:val="18"/>
                <w:color w:val="auto"/>
              </w:rPr>
            </w:pPr>
          </w:p>
        </w:tc>
        <w:tc>
          <w:tcPr>
            <w:tcW w:w="6360" w:type="dxa"/>
            <w:vAlign w:val="bottom"/>
            <w:gridSpan w:val="23"/>
            <w:vMerge w:val="restart"/>
          </w:tcPr>
          <w:p>
            <w:pPr>
              <w:spacing w:after="0"/>
              <w:rPr>
                <w:sz w:val="20"/>
                <w:szCs w:val="20"/>
                <w:color w:val="auto"/>
              </w:rPr>
            </w:pPr>
            <w:r>
              <w:rPr>
                <w:rFonts w:ascii="Arial" w:cs="Arial" w:eastAsia="Arial" w:hAnsi="Arial"/>
                <w:sz w:val="18"/>
                <w:szCs w:val="18"/>
                <w:color w:val="0000FF"/>
              </w:rPr>
              <w:t>Management’s Discussion and Analysis of</w:t>
            </w:r>
          </w:p>
        </w:tc>
        <w:tc>
          <w:tcPr>
            <w:tcW w:w="260" w:type="dxa"/>
            <w:vAlign w:val="bottom"/>
            <w:vMerge w:val="restart"/>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760" w:type="dxa"/>
            <w:vAlign w:val="bottom"/>
            <w:vMerge w:val="restart"/>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20" w:type="dxa"/>
            <w:vAlign w:val="bottom"/>
            <w:vMerge w:val="continue"/>
          </w:tcPr>
          <w:p>
            <w:pPr>
              <w:spacing w:after="0"/>
              <w:rPr>
                <w:sz w:val="9"/>
                <w:szCs w:val="9"/>
                <w:color w:val="auto"/>
              </w:rPr>
            </w:pPr>
          </w:p>
        </w:tc>
        <w:tc>
          <w:tcPr>
            <w:tcW w:w="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vMerge w:val="continue"/>
          </w:tcPr>
          <w:p>
            <w:pPr>
              <w:spacing w:after="0"/>
              <w:rPr>
                <w:sz w:val="9"/>
                <w:szCs w:val="9"/>
                <w:color w:val="auto"/>
              </w:rPr>
            </w:pPr>
          </w:p>
        </w:tc>
        <w:tc>
          <w:tcPr>
            <w:tcW w:w="6360" w:type="dxa"/>
            <w:vAlign w:val="bottom"/>
            <w:gridSpan w:val="23"/>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680" w:type="dxa"/>
            <w:vAlign w:val="bottom"/>
          </w:tcPr>
          <w:p>
            <w:pPr>
              <w:spacing w:after="0"/>
              <w:rPr>
                <w:sz w:val="5"/>
                <w:szCs w:val="5"/>
                <w:color w:val="auto"/>
              </w:rPr>
            </w:pPr>
          </w:p>
        </w:tc>
        <w:tc>
          <w:tcPr>
            <w:tcW w:w="760" w:type="dxa"/>
            <w:vAlign w:val="bottom"/>
            <w:vMerge w:val="continue"/>
            <w:shd w:val="clear" w:color="auto" w:fill="CCEEFF"/>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100" w:type="dxa"/>
            <w:vAlign w:val="bottom"/>
            <w:vMerge w:val="continue"/>
          </w:tcPr>
          <w:p>
            <w:pPr>
              <w:spacing w:after="0"/>
              <w:rPr>
                <w:sz w:val="5"/>
                <w:szCs w:val="5"/>
                <w:color w:val="auto"/>
              </w:rPr>
            </w:pPr>
          </w:p>
        </w:tc>
        <w:tc>
          <w:tcPr>
            <w:tcW w:w="6360" w:type="dxa"/>
            <w:vAlign w:val="bottom"/>
            <w:gridSpan w:val="23"/>
            <w:vMerge w:val="continue"/>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60" w:type="dxa"/>
            <w:vAlign w:val="bottom"/>
            <w:tcBorders>
              <w:bottom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CCEEFF"/>
            </w:tcBorders>
            <w:shd w:val="clear" w:color="auto" w:fill="CCEE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260" w:type="dxa"/>
            <w:vAlign w:val="bottom"/>
            <w:tcBorders>
              <w:bottom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vMerge w:val="restart"/>
          </w:tcPr>
          <w:p>
            <w:pPr>
              <w:spacing w:after="0"/>
              <w:rPr>
                <w:sz w:val="8"/>
                <w:szCs w:val="8"/>
                <w:color w:val="auto"/>
              </w:rPr>
            </w:pPr>
          </w:p>
        </w:tc>
        <w:tc>
          <w:tcPr>
            <w:tcW w:w="6360" w:type="dxa"/>
            <w:vAlign w:val="bottom"/>
            <w:gridSpan w:val="23"/>
            <w:vMerge w:val="restart"/>
          </w:tcPr>
          <w:p>
            <w:pPr>
              <w:spacing w:after="0" w:line="176" w:lineRule="exact"/>
              <w:rPr>
                <w:sz w:val="20"/>
                <w:szCs w:val="20"/>
                <w:color w:val="auto"/>
              </w:rPr>
            </w:pPr>
            <w:r>
              <w:rPr>
                <w:rFonts w:ascii="Arial" w:cs="Arial" w:eastAsia="Arial" w:hAnsi="Arial"/>
                <w:sz w:val="18"/>
                <w:szCs w:val="18"/>
                <w:color w:val="0000FF"/>
              </w:rPr>
              <w:t>Financial Condition and Results of Operations</w:t>
            </w:r>
          </w:p>
        </w:tc>
        <w:tc>
          <w:tcPr>
            <w:tcW w:w="260" w:type="dxa"/>
            <w:vAlign w:val="bottom"/>
            <w:shd w:val="clear" w:color="auto" w:fill="CCEEFF"/>
          </w:tcPr>
          <w:p>
            <w:pPr>
              <w:spacing w:after="0"/>
              <w:rPr>
                <w:sz w:val="8"/>
                <w:szCs w:val="8"/>
                <w:color w:val="auto"/>
              </w:rPr>
            </w:pPr>
          </w:p>
        </w:tc>
        <w:tc>
          <w:tcPr>
            <w:tcW w:w="4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6360" w:type="dxa"/>
            <w:vAlign w:val="bottom"/>
            <w:gridSpan w:val="23"/>
            <w:vMerge w:val="continue"/>
          </w:tcPr>
          <w:p>
            <w:pPr>
              <w:spacing w:after="0"/>
              <w:rPr>
                <w:sz w:val="7"/>
                <w:szCs w:val="7"/>
                <w:color w:val="auto"/>
              </w:rPr>
            </w:pPr>
          </w:p>
        </w:tc>
        <w:tc>
          <w:tcPr>
            <w:tcW w:w="260" w:type="dxa"/>
            <w:vAlign w:val="bottom"/>
          </w:tcPr>
          <w:p>
            <w:pPr>
              <w:spacing w:after="0"/>
              <w:rPr>
                <w:sz w:val="7"/>
                <w:szCs w:val="7"/>
                <w:color w:val="auto"/>
              </w:rPr>
            </w:pP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1560" w:type="dxa"/>
            <w:vAlign w:val="bottom"/>
            <w:gridSpan w:val="6"/>
            <w:shd w:val="clear" w:color="auto" w:fill="0000FF"/>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680" w:type="dxa"/>
            <w:vAlign w:val="bottom"/>
          </w:tcPr>
          <w:p>
            <w:pPr>
              <w:spacing w:after="0"/>
              <w:rPr>
                <w:sz w:val="24"/>
                <w:szCs w:val="24"/>
                <w:color w:val="auto"/>
              </w:rPr>
            </w:pPr>
          </w:p>
        </w:tc>
        <w:tc>
          <w:tcPr>
            <w:tcW w:w="820" w:type="dxa"/>
            <w:vAlign w:val="bottom"/>
            <w:gridSpan w:val="3"/>
          </w:tcPr>
          <w:p>
            <w:pPr>
              <w:spacing w:after="0"/>
              <w:rPr>
                <w:sz w:val="20"/>
                <w:szCs w:val="20"/>
                <w:color w:val="auto"/>
              </w:rPr>
            </w:pPr>
            <w:r>
              <w:rPr>
                <w:rFonts w:ascii="Arial" w:cs="Arial" w:eastAsia="Arial" w:hAnsi="Arial"/>
                <w:sz w:val="18"/>
                <w:szCs w:val="18"/>
                <w:color w:val="auto"/>
              </w:rPr>
              <w:t>Item 3.</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40" w:type="dxa"/>
            <w:vAlign w:val="bottom"/>
            <w:tcBorders>
              <w:bottom w:val="single" w:sz="8" w:color="0000FF"/>
            </w:tcBorders>
            <w:gridSpan w:val="19"/>
          </w:tcPr>
          <w:p>
            <w:pPr>
              <w:spacing w:after="0"/>
              <w:rPr>
                <w:sz w:val="20"/>
                <w:szCs w:val="20"/>
                <w:color w:val="auto"/>
              </w:rPr>
            </w:pPr>
            <w:r>
              <w:rPr>
                <w:rFonts w:ascii="Arial" w:cs="Arial" w:eastAsia="Arial" w:hAnsi="Arial"/>
                <w:sz w:val="18"/>
                <w:szCs w:val="18"/>
                <w:color w:val="0000FF"/>
                <w:w w:val="91"/>
              </w:rPr>
              <w:t>Quantitative and Qualitative Disclosures About Market Risk</w:t>
            </w:r>
          </w:p>
        </w:tc>
        <w:tc>
          <w:tcPr>
            <w:tcW w:w="232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680" w:type="dxa"/>
            <w:vAlign w:val="bottom"/>
          </w:tcPr>
          <w:p>
            <w:pPr>
              <w:spacing w:after="0"/>
              <w:rPr>
                <w:sz w:val="24"/>
                <w:szCs w:val="24"/>
                <w:color w:val="auto"/>
              </w:rPr>
            </w:pPr>
          </w:p>
        </w:tc>
        <w:tc>
          <w:tcPr>
            <w:tcW w:w="820" w:type="dxa"/>
            <w:vAlign w:val="bottom"/>
            <w:gridSpan w:val="3"/>
          </w:tcPr>
          <w:p>
            <w:pPr>
              <w:spacing w:after="0"/>
              <w:rPr>
                <w:sz w:val="20"/>
                <w:szCs w:val="20"/>
                <w:color w:val="auto"/>
              </w:rPr>
            </w:pPr>
            <w:r>
              <w:rPr>
                <w:rFonts w:ascii="Arial" w:cs="Arial" w:eastAsia="Arial" w:hAnsi="Arial"/>
                <w:sz w:val="18"/>
                <w:szCs w:val="18"/>
                <w:color w:val="auto"/>
              </w:rPr>
              <w:t>Item 4.</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60" w:type="dxa"/>
            <w:vAlign w:val="bottom"/>
            <w:gridSpan w:val="25"/>
          </w:tcPr>
          <w:p>
            <w:pPr>
              <w:spacing w:after="0"/>
              <w:rPr>
                <w:sz w:val="20"/>
                <w:szCs w:val="20"/>
                <w:color w:val="auto"/>
              </w:rPr>
            </w:pPr>
            <w:r>
              <w:rPr>
                <w:rFonts w:ascii="Arial" w:cs="Arial" w:eastAsia="Arial" w:hAnsi="Arial"/>
                <w:sz w:val="18"/>
                <w:szCs w:val="18"/>
                <w:color w:val="0000FF"/>
              </w:rPr>
              <w:t>Controls and Procedures</w:t>
            </w:r>
          </w:p>
        </w:tc>
        <w:tc>
          <w:tcPr>
            <w:tcW w:w="0" w:type="dxa"/>
            <w:vAlign w:val="bottom"/>
          </w:tcPr>
          <w:p>
            <w:pPr>
              <w:spacing w:after="0"/>
              <w:rPr>
                <w:sz w:val="1"/>
                <w:szCs w:val="1"/>
                <w:color w:val="auto"/>
              </w:rPr>
            </w:pPr>
          </w:p>
        </w:tc>
      </w:tr>
      <w:tr>
        <w:trPr>
          <w:trHeight w:val="210"/>
        </w:trPr>
        <w:tc>
          <w:tcPr>
            <w:tcW w:w="6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Part</w:t>
            </w:r>
          </w:p>
        </w:tc>
        <w:tc>
          <w:tcPr>
            <w:tcW w:w="7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40" w:type="dxa"/>
            <w:vAlign w:val="bottom"/>
            <w:vMerge w:val="restart"/>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vMerge w:val="restart"/>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6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gridSpan w:val="3"/>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80" w:type="dxa"/>
            <w:vAlign w:val="bottom"/>
            <w:vMerge w:val="continue"/>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20" w:type="dxa"/>
            <w:vAlign w:val="bottom"/>
            <w:vMerge w:val="continue"/>
          </w:tcPr>
          <w:p>
            <w:pPr>
              <w:spacing w:after="0"/>
              <w:rPr>
                <w:sz w:val="9"/>
                <w:szCs w:val="9"/>
                <w:color w:val="auto"/>
              </w:rPr>
            </w:pPr>
          </w:p>
        </w:tc>
        <w:tc>
          <w:tcPr>
            <w:tcW w:w="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vMerge w:val="continue"/>
          </w:tcPr>
          <w:p>
            <w:pPr>
              <w:spacing w:after="0"/>
              <w:rPr>
                <w:sz w:val="9"/>
                <w:szCs w:val="9"/>
                <w:color w:val="auto"/>
              </w:rPr>
            </w:pPr>
          </w:p>
        </w:tc>
        <w:tc>
          <w:tcPr>
            <w:tcW w:w="6260" w:type="dxa"/>
            <w:vAlign w:val="bottom"/>
            <w:gridSpan w:val="22"/>
            <w:vMerge w:val="restart"/>
            <w:shd w:val="clear" w:color="auto" w:fill="CCEEFF"/>
          </w:tcPr>
          <w:p>
            <w:pPr>
              <w:spacing w:after="0"/>
              <w:rPr>
                <w:sz w:val="20"/>
                <w:szCs w:val="20"/>
                <w:color w:val="auto"/>
              </w:rPr>
            </w:pPr>
            <w:r>
              <w:rPr>
                <w:rFonts w:ascii="Arial" w:cs="Arial" w:eastAsia="Arial" w:hAnsi="Arial"/>
                <w:sz w:val="18"/>
                <w:szCs w:val="18"/>
                <w:b w:val="1"/>
                <w:bCs w:val="1"/>
                <w:color w:val="auto"/>
              </w:rPr>
              <w:t>Other Information</w:t>
            </w:r>
          </w:p>
        </w:tc>
        <w:tc>
          <w:tcPr>
            <w:tcW w:w="40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80" w:type="dxa"/>
            <w:vAlign w:val="bottom"/>
            <w:vMerge w:val="continue"/>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tcPr>
          <w:p>
            <w:pPr>
              <w:spacing w:after="0"/>
              <w:rPr>
                <w:sz w:val="9"/>
                <w:szCs w:val="9"/>
                <w:color w:val="auto"/>
              </w:rPr>
            </w:pPr>
          </w:p>
        </w:tc>
        <w:tc>
          <w:tcPr>
            <w:tcW w:w="6260" w:type="dxa"/>
            <w:vAlign w:val="bottom"/>
            <w:gridSpan w:val="22"/>
            <w:vMerge w:val="continue"/>
            <w:shd w:val="clear" w:color="auto" w:fill="CCEEFF"/>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6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II.</w:t>
            </w: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680" w:type="dxa"/>
            <w:vAlign w:val="bottom"/>
            <w:vMerge w:val="continue"/>
          </w:tcPr>
          <w:p>
            <w:pPr>
              <w:spacing w:after="0"/>
              <w:rPr>
                <w:sz w:val="12"/>
                <w:szCs w:val="12"/>
                <w:color w:val="auto"/>
              </w:rPr>
            </w:pPr>
          </w:p>
        </w:tc>
        <w:tc>
          <w:tcPr>
            <w:tcW w:w="820" w:type="dxa"/>
            <w:vAlign w:val="bottom"/>
            <w:gridSpan w:val="3"/>
            <w:vMerge w:val="restart"/>
          </w:tcPr>
          <w:p>
            <w:pPr>
              <w:spacing w:after="0"/>
              <w:rPr>
                <w:sz w:val="20"/>
                <w:szCs w:val="20"/>
                <w:color w:val="auto"/>
              </w:rPr>
            </w:pPr>
            <w:r>
              <w:rPr>
                <w:rFonts w:ascii="Arial" w:cs="Arial" w:eastAsia="Arial" w:hAnsi="Arial"/>
                <w:sz w:val="18"/>
                <w:szCs w:val="18"/>
                <w:color w:val="auto"/>
              </w:rPr>
              <w:t>Item 1.</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60" w:type="dxa"/>
            <w:vAlign w:val="bottom"/>
            <w:gridSpan w:val="25"/>
            <w:vMerge w:val="restart"/>
          </w:tcPr>
          <w:p>
            <w:pPr>
              <w:spacing w:after="0"/>
              <w:rPr>
                <w:sz w:val="20"/>
                <w:szCs w:val="20"/>
                <w:color w:val="auto"/>
              </w:rPr>
            </w:pPr>
            <w:r>
              <w:rPr>
                <w:rFonts w:ascii="Arial" w:cs="Arial" w:eastAsia="Arial" w:hAnsi="Arial"/>
                <w:sz w:val="18"/>
                <w:szCs w:val="18"/>
                <w:color w:val="0000FF"/>
              </w:rPr>
              <w:t>Legal Proceedings</w:t>
            </w:r>
          </w:p>
        </w:tc>
        <w:tc>
          <w:tcPr>
            <w:tcW w:w="0" w:type="dxa"/>
            <w:vAlign w:val="bottom"/>
          </w:tcPr>
          <w:p>
            <w:pPr>
              <w:spacing w:after="0"/>
              <w:rPr>
                <w:sz w:val="1"/>
                <w:szCs w:val="1"/>
                <w:color w:val="auto"/>
              </w:rPr>
            </w:pPr>
          </w:p>
        </w:tc>
      </w:tr>
      <w:tr>
        <w:trPr>
          <w:trHeight w:val="360"/>
        </w:trPr>
        <w:tc>
          <w:tcPr>
            <w:tcW w:w="680" w:type="dxa"/>
            <w:vAlign w:val="bottom"/>
          </w:tcPr>
          <w:p>
            <w:pPr>
              <w:spacing w:after="0"/>
              <w:rPr>
                <w:sz w:val="24"/>
                <w:szCs w:val="24"/>
                <w:color w:val="auto"/>
              </w:rPr>
            </w:pPr>
          </w:p>
        </w:tc>
        <w:tc>
          <w:tcPr>
            <w:tcW w:w="820" w:type="dxa"/>
            <w:vAlign w:val="bottom"/>
            <w:gridSpan w:val="3"/>
            <w:vMerge w:val="continue"/>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60" w:type="dxa"/>
            <w:vAlign w:val="bottom"/>
            <w:gridSpan w:val="25"/>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680" w:type="dxa"/>
            <w:vAlign w:val="bottom"/>
          </w:tcPr>
          <w:p>
            <w:pPr>
              <w:spacing w:after="0"/>
              <w:rPr>
                <w:sz w:val="24"/>
                <w:szCs w:val="24"/>
                <w:color w:val="auto"/>
              </w:rPr>
            </w:pPr>
          </w:p>
        </w:tc>
        <w:tc>
          <w:tcPr>
            <w:tcW w:w="820" w:type="dxa"/>
            <w:vAlign w:val="bottom"/>
            <w:gridSpan w:val="3"/>
          </w:tcPr>
          <w:p>
            <w:pPr>
              <w:spacing w:after="0"/>
              <w:rPr>
                <w:sz w:val="20"/>
                <w:szCs w:val="20"/>
                <w:color w:val="auto"/>
              </w:rPr>
            </w:pPr>
            <w:r>
              <w:rPr>
                <w:rFonts w:ascii="Arial" w:cs="Arial" w:eastAsia="Arial" w:hAnsi="Arial"/>
                <w:sz w:val="18"/>
                <w:szCs w:val="18"/>
                <w:color w:val="auto"/>
              </w:rPr>
              <w:t>Item 1A.</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0000FF"/>
              </w:rPr>
              <w:t>Risk Factors</w:t>
            </w:r>
          </w:p>
        </w:tc>
        <w:tc>
          <w:tcPr>
            <w:tcW w:w="5300" w:type="dxa"/>
            <w:vAlign w:val="bottom"/>
            <w:gridSpan w:val="22"/>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20" w:type="dxa"/>
            <w:vAlign w:val="bottom"/>
            <w:gridSpan w:val="16"/>
          </w:tcPr>
          <w:p>
            <w:pPr>
              <w:spacing w:after="0" w:line="20" w:lineRule="exact"/>
              <w:rPr>
                <w:sz w:val="1"/>
                <w:szCs w:val="1"/>
                <w:color w:val="auto"/>
              </w:rPr>
            </w:pPr>
          </w:p>
        </w:tc>
        <w:tc>
          <w:tcPr>
            <w:tcW w:w="23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680" w:type="dxa"/>
            <w:vAlign w:val="bottom"/>
          </w:tcPr>
          <w:p>
            <w:pPr>
              <w:spacing w:after="0"/>
              <w:rPr>
                <w:sz w:val="24"/>
                <w:szCs w:val="24"/>
                <w:color w:val="auto"/>
              </w:rPr>
            </w:pPr>
          </w:p>
        </w:tc>
        <w:tc>
          <w:tcPr>
            <w:tcW w:w="820" w:type="dxa"/>
            <w:vAlign w:val="bottom"/>
            <w:gridSpan w:val="3"/>
          </w:tcPr>
          <w:p>
            <w:pPr>
              <w:spacing w:after="0"/>
              <w:rPr>
                <w:sz w:val="20"/>
                <w:szCs w:val="20"/>
                <w:color w:val="auto"/>
              </w:rPr>
            </w:pPr>
            <w:r>
              <w:rPr>
                <w:rFonts w:ascii="Arial" w:cs="Arial" w:eastAsia="Arial" w:hAnsi="Arial"/>
                <w:sz w:val="18"/>
                <w:szCs w:val="18"/>
                <w:color w:val="auto"/>
              </w:rPr>
              <w:t>Item 2.</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60" w:type="dxa"/>
            <w:vAlign w:val="bottom"/>
            <w:gridSpan w:val="25"/>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0" w:type="dxa"/>
            <w:vAlign w:val="bottom"/>
          </w:tcPr>
          <w:p>
            <w:pPr>
              <w:spacing w:after="0"/>
              <w:rPr>
                <w:sz w:val="1"/>
                <w:szCs w:val="1"/>
                <w:color w:val="auto"/>
              </w:rPr>
            </w:pPr>
          </w:p>
        </w:tc>
      </w:tr>
      <w:tr>
        <w:trPr>
          <w:trHeight w:val="398"/>
        </w:trPr>
        <w:tc>
          <w:tcPr>
            <w:tcW w:w="680" w:type="dxa"/>
            <w:vAlign w:val="bottom"/>
          </w:tcPr>
          <w:p>
            <w:pPr>
              <w:spacing w:after="0"/>
              <w:rPr>
                <w:sz w:val="24"/>
                <w:szCs w:val="24"/>
                <w:color w:val="auto"/>
              </w:rPr>
            </w:pPr>
          </w:p>
        </w:tc>
        <w:tc>
          <w:tcPr>
            <w:tcW w:w="820" w:type="dxa"/>
            <w:vAlign w:val="bottom"/>
            <w:gridSpan w:val="3"/>
          </w:tcPr>
          <w:p>
            <w:pPr>
              <w:spacing w:after="0"/>
              <w:rPr>
                <w:sz w:val="20"/>
                <w:szCs w:val="20"/>
                <w:color w:val="auto"/>
              </w:rPr>
            </w:pPr>
            <w:r>
              <w:rPr>
                <w:rFonts w:ascii="Arial" w:cs="Arial" w:eastAsia="Arial" w:hAnsi="Arial"/>
                <w:sz w:val="18"/>
                <w:szCs w:val="18"/>
                <w:color w:val="auto"/>
              </w:rPr>
              <w:t>Item 6.</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20" w:type="dxa"/>
            <w:vAlign w:val="bottom"/>
            <w:tcBorders>
              <w:top w:val="single" w:sz="8" w:color="0000FF"/>
            </w:tcBorders>
            <w:gridSpan w:val="18"/>
          </w:tcPr>
          <w:p>
            <w:pPr>
              <w:spacing w:after="0"/>
              <w:rPr>
                <w:sz w:val="20"/>
                <w:szCs w:val="20"/>
                <w:color w:val="auto"/>
              </w:rPr>
            </w:pPr>
            <w:r>
              <w:rPr>
                <w:rFonts w:ascii="Arial" w:cs="Arial" w:eastAsia="Arial" w:hAnsi="Arial"/>
                <w:sz w:val="18"/>
                <w:szCs w:val="18"/>
                <w:color w:val="0000FF"/>
              </w:rPr>
              <w:t>Exhibits</w:t>
            </w:r>
          </w:p>
        </w:tc>
        <w:tc>
          <w:tcPr>
            <w:tcW w:w="234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680" w:type="dxa"/>
            <w:vAlign w:val="bottom"/>
          </w:tcPr>
          <w:p>
            <w:pPr>
              <w:spacing w:after="0"/>
              <w:rPr>
                <w:sz w:val="24"/>
                <w:szCs w:val="24"/>
                <w:color w:val="auto"/>
              </w:rPr>
            </w:pPr>
          </w:p>
        </w:tc>
        <w:tc>
          <w:tcPr>
            <w:tcW w:w="78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88"/>
              </w:rPr>
              <w:t>Signatures</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Page</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Number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3</w:t>
      </w:r>
    </w:p>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4</w:t>
      </w:r>
    </w:p>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5</w:t>
      </w:r>
    </w:p>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6</w:t>
      </w:r>
    </w:p>
    <w:p>
      <w:pPr>
        <w:spacing w:after="0" w:line="320"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7</w:t>
      </w:r>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17</w:t>
      </w:r>
    </w:p>
    <w:p>
      <w:pPr>
        <w:spacing w:after="0" w:line="306" w:lineRule="exact"/>
        <w:rPr>
          <w:sz w:val="20"/>
          <w:szCs w:val="20"/>
          <w:color w:val="auto"/>
        </w:rPr>
      </w:pPr>
    </w:p>
    <w:p>
      <w:pPr>
        <w:ind w:left="560"/>
        <w:spacing w:after="0"/>
        <w:rPr>
          <w:sz w:val="20"/>
          <w:szCs w:val="20"/>
          <w:color w:val="auto"/>
        </w:rPr>
      </w:pPr>
      <w:r>
        <w:rPr>
          <w:rFonts w:ascii="Arial" w:cs="Arial" w:eastAsia="Arial" w:hAnsi="Arial"/>
          <w:sz w:val="16"/>
          <w:szCs w:val="16"/>
          <w:u w:val="single" w:color="auto"/>
          <w:color w:val="0000FF"/>
        </w:rPr>
        <w:t>28</w:t>
      </w:r>
    </w:p>
    <w:p>
      <w:pPr>
        <w:spacing w:after="0" w:line="235" w:lineRule="exact"/>
        <w:rPr>
          <w:sz w:val="20"/>
          <w:szCs w:val="20"/>
          <w:color w:val="auto"/>
        </w:rPr>
      </w:pPr>
    </w:p>
    <w:p>
      <w:pPr>
        <w:ind w:left="560"/>
        <w:spacing w:after="0"/>
        <w:rPr>
          <w:sz w:val="20"/>
          <w:szCs w:val="20"/>
          <w:color w:val="auto"/>
        </w:rPr>
      </w:pPr>
      <w:r>
        <w:rPr>
          <w:rFonts w:ascii="Arial" w:cs="Arial" w:eastAsia="Arial" w:hAnsi="Arial"/>
          <w:sz w:val="16"/>
          <w:szCs w:val="16"/>
          <w:u w:val="single" w:color="auto"/>
          <w:color w:val="0000FF"/>
        </w:rPr>
        <w:t>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60"/>
        <w:spacing w:after="0"/>
        <w:rPr>
          <w:sz w:val="20"/>
          <w:szCs w:val="20"/>
          <w:color w:val="auto"/>
        </w:rPr>
      </w:pPr>
      <w:r>
        <w:rPr>
          <w:rFonts w:ascii="Arial" w:cs="Arial" w:eastAsia="Arial" w:hAnsi="Arial"/>
          <w:sz w:val="16"/>
          <w:szCs w:val="16"/>
          <w:u w:val="single" w:color="auto"/>
          <w:color w:val="0000FF"/>
        </w:rPr>
        <w:t>29</w:t>
      </w:r>
    </w:p>
    <w:p>
      <w:pPr>
        <w:spacing w:after="0" w:line="221" w:lineRule="exact"/>
        <w:rPr>
          <w:sz w:val="20"/>
          <w:szCs w:val="20"/>
          <w:color w:val="auto"/>
        </w:rPr>
      </w:pPr>
    </w:p>
    <w:p>
      <w:pPr>
        <w:ind w:left="560"/>
        <w:spacing w:after="0"/>
        <w:rPr>
          <w:sz w:val="20"/>
          <w:szCs w:val="20"/>
          <w:color w:val="auto"/>
        </w:rPr>
      </w:pPr>
      <w:r>
        <w:rPr>
          <w:rFonts w:ascii="Arial" w:cs="Arial" w:eastAsia="Arial" w:hAnsi="Arial"/>
          <w:sz w:val="16"/>
          <w:szCs w:val="16"/>
          <w:u w:val="single" w:color="auto"/>
          <w:color w:val="0000FF"/>
        </w:rPr>
        <w:t>29</w:t>
      </w:r>
    </w:p>
    <w:p>
      <w:pPr>
        <w:spacing w:after="0" w:line="235" w:lineRule="exact"/>
        <w:rPr>
          <w:sz w:val="20"/>
          <w:szCs w:val="20"/>
          <w:color w:val="auto"/>
        </w:rPr>
      </w:pPr>
    </w:p>
    <w:p>
      <w:pPr>
        <w:ind w:left="560"/>
        <w:spacing w:after="0"/>
        <w:rPr>
          <w:sz w:val="20"/>
          <w:szCs w:val="20"/>
          <w:color w:val="auto"/>
        </w:rPr>
      </w:pPr>
      <w:r>
        <w:rPr>
          <w:rFonts w:ascii="Arial" w:cs="Arial" w:eastAsia="Arial" w:hAnsi="Arial"/>
          <w:sz w:val="16"/>
          <w:szCs w:val="16"/>
          <w:u w:val="single" w:color="auto"/>
          <w:color w:val="0000FF"/>
        </w:rPr>
        <w:t>29</w:t>
      </w:r>
    </w:p>
    <w:p>
      <w:pPr>
        <w:spacing w:after="0" w:line="235" w:lineRule="exact"/>
        <w:rPr>
          <w:sz w:val="20"/>
          <w:szCs w:val="20"/>
          <w:color w:val="auto"/>
        </w:rPr>
      </w:pPr>
    </w:p>
    <w:p>
      <w:pPr>
        <w:ind w:left="560"/>
        <w:spacing w:after="0"/>
        <w:rPr>
          <w:sz w:val="20"/>
          <w:szCs w:val="20"/>
          <w:color w:val="auto"/>
        </w:rPr>
      </w:pPr>
      <w:r>
        <w:rPr>
          <w:rFonts w:ascii="Arial" w:cs="Arial" w:eastAsia="Arial" w:hAnsi="Arial"/>
          <w:sz w:val="16"/>
          <w:szCs w:val="16"/>
          <w:u w:val="single" w:color="auto"/>
          <w:color w:val="0000FF"/>
        </w:rPr>
        <w:t>29</w:t>
      </w:r>
    </w:p>
    <w:p>
      <w:pPr>
        <w:spacing w:after="0" w:line="221" w:lineRule="exact"/>
        <w:rPr>
          <w:sz w:val="20"/>
          <w:szCs w:val="20"/>
          <w:color w:val="auto"/>
        </w:rPr>
      </w:pPr>
    </w:p>
    <w:p>
      <w:pPr>
        <w:ind w:left="560"/>
        <w:spacing w:after="0"/>
        <w:rPr>
          <w:sz w:val="20"/>
          <w:szCs w:val="20"/>
          <w:color w:val="auto"/>
        </w:rPr>
      </w:pPr>
      <w:r>
        <w:rPr>
          <w:rFonts w:ascii="Arial" w:cs="Arial" w:eastAsia="Arial" w:hAnsi="Arial"/>
          <w:sz w:val="16"/>
          <w:szCs w:val="16"/>
          <w:u w:val="single" w:color="auto"/>
          <w:color w:val="0000FF"/>
        </w:rPr>
        <w:t>30</w:t>
      </w:r>
    </w:p>
    <w:p>
      <w:pPr>
        <w:spacing w:after="0" w:line="218" w:lineRule="exact"/>
        <w:rPr>
          <w:sz w:val="20"/>
          <w:szCs w:val="20"/>
          <w:color w:val="auto"/>
        </w:rPr>
      </w:pPr>
    </w:p>
    <w:p>
      <w:pPr>
        <w:sectPr>
          <w:pgSz w:w="11900" w:h="16838" w:orient="portrait"/>
          <w:cols w:equalWidth="0" w:num="2">
            <w:col w:w="8340" w:space="160"/>
            <w:col w:w="740"/>
          </w:cols>
          <w:pgMar w:left="1320" w:top="315"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9240"/>
          </w:cols>
          <w:pgMar w:left="1320" w:top="315" w:right="13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4420" w:type="dxa"/>
            <w:vAlign w:val="bottom"/>
          </w:tcPr>
          <w:p>
            <w:pPr>
              <w:spacing w:after="0"/>
              <w:rPr>
                <w:sz w:val="17"/>
                <w:szCs w:val="17"/>
                <w:color w:val="auto"/>
              </w:rPr>
            </w:pPr>
          </w:p>
        </w:tc>
        <w:tc>
          <w:tcPr>
            <w:tcW w:w="1800" w:type="dxa"/>
            <w:vAlign w:val="bottom"/>
            <w:gridSpan w:val="2"/>
          </w:tcPr>
          <w:p>
            <w:pPr>
              <w:jc w:val="center"/>
              <w:ind w:right="1400"/>
              <w:spacing w:after="0"/>
              <w:rPr>
                <w:sz w:val="20"/>
                <w:szCs w:val="20"/>
                <w:color w:val="auto"/>
              </w:rPr>
            </w:pPr>
            <w:r>
              <w:rPr>
                <w:rFonts w:ascii="Arial" w:cs="Arial" w:eastAsia="Arial" w:hAnsi="Arial"/>
                <w:sz w:val="18"/>
                <w:szCs w:val="18"/>
                <w:color w:val="0000FF"/>
                <w:w w:val="90"/>
              </w:rPr>
              <w:t>Index</w:t>
            </w: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
        </w:trPr>
        <w:tc>
          <w:tcPr>
            <w:tcW w:w="44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691"/>
        </w:trPr>
        <w:tc>
          <w:tcPr>
            <w:tcW w:w="6220" w:type="dxa"/>
            <w:vAlign w:val="bottom"/>
            <w:gridSpan w:val="3"/>
          </w:tcPr>
          <w:p>
            <w:pPr>
              <w:jc w:val="center"/>
              <w:ind w:left="2930"/>
              <w:spacing w:after="0"/>
              <w:rPr>
                <w:sz w:val="20"/>
                <w:szCs w:val="20"/>
                <w:color w:val="auto"/>
              </w:rPr>
            </w:pPr>
            <w:r>
              <w:rPr>
                <w:rFonts w:ascii="Arial" w:cs="Arial" w:eastAsia="Arial" w:hAnsi="Arial"/>
                <w:sz w:val="18"/>
                <w:szCs w:val="18"/>
                <w:b w:val="1"/>
                <w:bCs w:val="1"/>
                <w:color w:val="auto"/>
              </w:rPr>
              <w:t>PART I. FINANCIAL INFORMATION</w:t>
            </w: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16"/>
        </w:trPr>
        <w:tc>
          <w:tcPr>
            <w:tcW w:w="6220" w:type="dxa"/>
            <w:vAlign w:val="bottom"/>
            <w:gridSpan w:val="3"/>
          </w:tcPr>
          <w:p>
            <w:pPr>
              <w:jc w:val="center"/>
              <w:ind w:left="2910"/>
              <w:spacing w:after="0"/>
              <w:rPr>
                <w:sz w:val="20"/>
                <w:szCs w:val="20"/>
                <w:color w:val="auto"/>
              </w:rPr>
            </w:pPr>
            <w:r>
              <w:rPr>
                <w:rFonts w:ascii="Arial" w:cs="Arial" w:eastAsia="Arial" w:hAnsi="Arial"/>
                <w:sz w:val="18"/>
                <w:szCs w:val="18"/>
                <w:b w:val="1"/>
                <w:bCs w:val="1"/>
                <w:color w:val="auto"/>
              </w:rPr>
              <w:t>ITEM 1.  FINANCIAL STATEMENTS</w:t>
            </w: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6220" w:type="dxa"/>
            <w:vAlign w:val="bottom"/>
            <w:gridSpan w:val="3"/>
          </w:tcPr>
          <w:p>
            <w:pPr>
              <w:jc w:val="center"/>
              <w:ind w:left="2930"/>
              <w:spacing w:after="0"/>
              <w:rPr>
                <w:sz w:val="20"/>
                <w:szCs w:val="20"/>
                <w:color w:val="auto"/>
              </w:rPr>
            </w:pPr>
            <w:r>
              <w:rPr>
                <w:rFonts w:ascii="Arial" w:cs="Arial" w:eastAsia="Arial" w:hAnsi="Arial"/>
                <w:sz w:val="18"/>
                <w:szCs w:val="18"/>
                <w:b w:val="1"/>
                <w:bCs w:val="1"/>
                <w:color w:val="auto"/>
                <w:w w:val="89"/>
              </w:rPr>
              <w:t>Cal-Maine Foods, Inc. and Subsidiaries</w:t>
            </w: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20"/>
        </w:trPr>
        <w:tc>
          <w:tcPr>
            <w:tcW w:w="6220" w:type="dxa"/>
            <w:vAlign w:val="bottom"/>
            <w:gridSpan w:val="3"/>
          </w:tcPr>
          <w:p>
            <w:pPr>
              <w:jc w:val="center"/>
              <w:ind w:left="2930"/>
              <w:spacing w:after="0"/>
              <w:rPr>
                <w:sz w:val="20"/>
                <w:szCs w:val="20"/>
                <w:color w:val="auto"/>
              </w:rPr>
            </w:pPr>
            <w:r>
              <w:rPr>
                <w:rFonts w:ascii="Arial" w:cs="Arial" w:eastAsia="Arial" w:hAnsi="Arial"/>
                <w:sz w:val="18"/>
                <w:szCs w:val="18"/>
                <w:b w:val="1"/>
                <w:bCs w:val="1"/>
                <w:color w:val="auto"/>
                <w:w w:val="86"/>
              </w:rPr>
              <w:t>Condensed Consolidated Balance Sheets</w:t>
            </w: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16"/>
        </w:trPr>
        <w:tc>
          <w:tcPr>
            <w:tcW w:w="6600" w:type="dxa"/>
            <w:vAlign w:val="bottom"/>
            <w:gridSpan w:val="4"/>
          </w:tcPr>
          <w:p>
            <w:pPr>
              <w:jc w:val="center"/>
              <w:ind w:left="2530"/>
              <w:spacing w:after="0"/>
              <w:rPr>
                <w:sz w:val="20"/>
                <w:szCs w:val="20"/>
                <w:color w:val="auto"/>
              </w:rPr>
            </w:pPr>
            <w:r>
              <w:rPr>
                <w:rFonts w:ascii="Arial" w:cs="Arial" w:eastAsia="Arial" w:hAnsi="Arial"/>
                <w:sz w:val="18"/>
                <w:szCs w:val="18"/>
                <w:i w:val="1"/>
                <w:iCs w:val="1"/>
                <w:color w:val="auto"/>
                <w:w w:val="90"/>
              </w:rPr>
              <w:t>(In thousands, except for par value amounts)</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0"/>
        </w:trPr>
        <w:tc>
          <w:tcPr>
            <w:tcW w:w="6220" w:type="dxa"/>
            <w:vAlign w:val="bottom"/>
            <w:gridSpan w:val="3"/>
          </w:tcPr>
          <w:p>
            <w:pPr>
              <w:jc w:val="center"/>
              <w:ind w:left="2930"/>
              <w:spacing w:after="0"/>
              <w:rPr>
                <w:sz w:val="20"/>
                <w:szCs w:val="20"/>
                <w:color w:val="auto"/>
              </w:rPr>
            </w:pPr>
            <w:r>
              <w:rPr>
                <w:rFonts w:ascii="Arial" w:cs="Arial" w:eastAsia="Arial" w:hAnsi="Arial"/>
                <w:sz w:val="18"/>
                <w:szCs w:val="18"/>
                <w:i w:val="1"/>
                <w:iCs w:val="1"/>
                <w:color w:val="auto"/>
                <w:w w:val="93"/>
              </w:rPr>
              <w:t>(Unaudited)</w:t>
            </w: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432"/>
        </w:trPr>
        <w:tc>
          <w:tcPr>
            <w:tcW w:w="4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20" w:type="dxa"/>
            <w:vAlign w:val="bottom"/>
            <w:gridSpan w:val="3"/>
          </w:tcPr>
          <w:p>
            <w:pPr>
              <w:spacing w:after="0"/>
              <w:rPr>
                <w:sz w:val="20"/>
                <w:szCs w:val="20"/>
                <w:color w:val="auto"/>
              </w:rPr>
            </w:pPr>
            <w:r>
              <w:rPr>
                <w:rFonts w:ascii="Arial" w:cs="Arial" w:eastAsia="Arial" w:hAnsi="Arial"/>
                <w:sz w:val="18"/>
                <w:szCs w:val="18"/>
                <w:color w:val="auto"/>
                <w:w w:val="94"/>
              </w:rPr>
              <w:t>November 26, 2022</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color w:val="auto"/>
                <w:w w:val="97"/>
              </w:rPr>
              <w:t>May 28, 2022</w:t>
            </w:r>
          </w:p>
        </w:tc>
      </w:tr>
      <w:tr>
        <w:trPr>
          <w:trHeight w:val="209"/>
        </w:trPr>
        <w:tc>
          <w:tcPr>
            <w:tcW w:w="622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r>
      <w:tr>
        <w:trPr>
          <w:trHeight w:val="230"/>
        </w:trPr>
        <w:tc>
          <w:tcPr>
            <w:tcW w:w="622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622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Cash and cash equivalents</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178,635</w:t>
            </w:r>
          </w:p>
        </w:tc>
        <w:tc>
          <w:tcPr>
            <w:tcW w:w="8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59,084</w:t>
            </w:r>
          </w:p>
        </w:tc>
      </w:tr>
      <w:tr>
        <w:trPr>
          <w:trHeight w:val="229"/>
        </w:trPr>
        <w:tc>
          <w:tcPr>
            <w:tcW w:w="6220" w:type="dxa"/>
            <w:vAlign w:val="bottom"/>
            <w:gridSpan w:val="3"/>
          </w:tcPr>
          <w:p>
            <w:pPr>
              <w:ind w:left="260"/>
              <w:spacing w:after="0"/>
              <w:rPr>
                <w:sz w:val="20"/>
                <w:szCs w:val="20"/>
                <w:color w:val="auto"/>
              </w:rPr>
            </w:pPr>
            <w:r>
              <w:rPr>
                <w:rFonts w:ascii="Arial" w:cs="Arial" w:eastAsia="Arial" w:hAnsi="Arial"/>
                <w:sz w:val="18"/>
                <w:szCs w:val="18"/>
                <w:color w:val="auto"/>
              </w:rPr>
              <w:t>Investment securities available-for-sale</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200,714</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115,429</w:t>
            </w:r>
          </w:p>
        </w:tc>
      </w:tr>
      <w:tr>
        <w:trPr>
          <w:trHeight w:val="230"/>
        </w:trPr>
        <w:tc>
          <w:tcPr>
            <w:tcW w:w="622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Trade and other receivables, net</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262,964</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177,257</w:t>
            </w:r>
          </w:p>
        </w:tc>
      </w:tr>
      <w:tr>
        <w:trPr>
          <w:trHeight w:val="229"/>
        </w:trPr>
        <w:tc>
          <w:tcPr>
            <w:tcW w:w="6220" w:type="dxa"/>
            <w:vAlign w:val="bottom"/>
            <w:gridSpan w:val="3"/>
          </w:tcPr>
          <w:p>
            <w:pPr>
              <w:ind w:left="260"/>
              <w:spacing w:after="0"/>
              <w:rPr>
                <w:sz w:val="20"/>
                <w:szCs w:val="20"/>
                <w:color w:val="auto"/>
              </w:rPr>
            </w:pPr>
            <w:r>
              <w:rPr>
                <w:rFonts w:ascii="Arial" w:cs="Arial" w:eastAsia="Arial" w:hAnsi="Arial"/>
                <w:sz w:val="18"/>
                <w:szCs w:val="18"/>
                <w:color w:val="auto"/>
              </w:rPr>
              <w:t>Income tax receivable</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42,147</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42,147</w:t>
            </w:r>
          </w:p>
        </w:tc>
      </w:tr>
      <w:tr>
        <w:trPr>
          <w:trHeight w:val="229"/>
        </w:trPr>
        <w:tc>
          <w:tcPr>
            <w:tcW w:w="622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Inventories</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280,582</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263,316</w:t>
            </w:r>
          </w:p>
        </w:tc>
      </w:tr>
      <w:tr>
        <w:trPr>
          <w:trHeight w:val="230"/>
        </w:trPr>
        <w:tc>
          <w:tcPr>
            <w:tcW w:w="6220" w:type="dxa"/>
            <w:vAlign w:val="bottom"/>
            <w:tcBorders>
              <w:bottom w:val="single" w:sz="8" w:color="CCEEFF"/>
            </w:tcBorders>
            <w:gridSpan w:val="3"/>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8,968</w:t>
            </w: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4,286</w:t>
            </w:r>
          </w:p>
        </w:tc>
      </w:tr>
      <w:tr>
        <w:trPr>
          <w:trHeight w:val="223"/>
        </w:trPr>
        <w:tc>
          <w:tcPr>
            <w:tcW w:w="6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974,010</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661,519</w:t>
            </w:r>
          </w:p>
        </w:tc>
      </w:tr>
      <w:tr>
        <w:trPr>
          <w:trHeight w:val="230"/>
        </w:trPr>
        <w:tc>
          <w:tcPr>
            <w:tcW w:w="6220" w:type="dxa"/>
            <w:vAlign w:val="bottom"/>
            <w:gridSpan w:val="3"/>
          </w:tcPr>
          <w:p>
            <w:pPr>
              <w:spacing w:after="0"/>
              <w:rPr>
                <w:sz w:val="20"/>
                <w:szCs w:val="20"/>
                <w:color w:val="auto"/>
              </w:rPr>
            </w:pPr>
            <w:r>
              <w:rPr>
                <w:rFonts w:ascii="Arial" w:cs="Arial" w:eastAsia="Arial" w:hAnsi="Arial"/>
                <w:sz w:val="18"/>
                <w:szCs w:val="18"/>
                <w:color w:val="auto"/>
              </w:rPr>
              <w:t>Property, plant &amp; equipment, net</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703,882</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677,796</w:t>
            </w:r>
          </w:p>
        </w:tc>
      </w:tr>
      <w:tr>
        <w:trPr>
          <w:trHeight w:val="229"/>
        </w:trPr>
        <w:tc>
          <w:tcPr>
            <w:tcW w:w="6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Investments in unconsolidated entities</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14,687</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15,530</w:t>
            </w:r>
          </w:p>
        </w:tc>
      </w:tr>
      <w:tr>
        <w:trPr>
          <w:trHeight w:val="230"/>
        </w:trPr>
        <w:tc>
          <w:tcPr>
            <w:tcW w:w="6220" w:type="dxa"/>
            <w:vAlign w:val="bottom"/>
            <w:gridSpan w:val="3"/>
          </w:tcPr>
          <w:p>
            <w:pPr>
              <w:spacing w:after="0"/>
              <w:rPr>
                <w:sz w:val="20"/>
                <w:szCs w:val="20"/>
                <w:color w:val="auto"/>
              </w:rPr>
            </w:pPr>
            <w:r>
              <w:rPr>
                <w:rFonts w:ascii="Arial" w:cs="Arial" w:eastAsia="Arial" w:hAnsi="Arial"/>
                <w:sz w:val="18"/>
                <w:szCs w:val="18"/>
                <w:color w:val="auto"/>
              </w:rPr>
              <w:t>Goodwill</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44,006</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44,006</w:t>
            </w:r>
          </w:p>
        </w:tc>
      </w:tr>
      <w:tr>
        <w:trPr>
          <w:trHeight w:val="229"/>
        </w:trPr>
        <w:tc>
          <w:tcPr>
            <w:tcW w:w="6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17,037</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18,131</w:t>
            </w:r>
          </w:p>
        </w:tc>
      </w:tr>
      <w:tr>
        <w:trPr>
          <w:trHeight w:val="236"/>
        </w:trPr>
        <w:tc>
          <w:tcPr>
            <w:tcW w:w="62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Other long-term assets</w:t>
            </w:r>
          </w:p>
        </w:tc>
        <w:tc>
          <w:tcPr>
            <w:tcW w:w="3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9,818</w:t>
            </w:r>
          </w:p>
        </w:tc>
        <w:tc>
          <w:tcPr>
            <w:tcW w:w="8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10,507</w:t>
            </w:r>
          </w:p>
        </w:tc>
      </w:tr>
      <w:tr>
        <w:trPr>
          <w:trHeight w:val="217"/>
        </w:trPr>
        <w:tc>
          <w:tcPr>
            <w:tcW w:w="6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Assets</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1,763,440</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1,427,489</w:t>
            </w:r>
          </w:p>
        </w:tc>
      </w:tr>
      <w:tr>
        <w:trPr>
          <w:trHeight w:val="20"/>
        </w:trPr>
        <w:tc>
          <w:tcPr>
            <w:tcW w:w="4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4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230"/>
        </w:trPr>
        <w:tc>
          <w:tcPr>
            <w:tcW w:w="62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9"/>
        </w:trPr>
        <w:tc>
          <w:tcPr>
            <w:tcW w:w="6220" w:type="dxa"/>
            <w:vAlign w:val="bottom"/>
            <w:gridSpan w:val="3"/>
          </w:tcPr>
          <w:p>
            <w:pPr>
              <w:spacing w:after="0"/>
              <w:rPr>
                <w:sz w:val="20"/>
                <w:szCs w:val="20"/>
                <w:color w:val="auto"/>
              </w:rPr>
            </w:pPr>
            <w:r>
              <w:rPr>
                <w:rFonts w:ascii="Arial" w:cs="Arial" w:eastAsia="Arial" w:hAnsi="Arial"/>
                <w:sz w:val="18"/>
                <w:szCs w:val="18"/>
                <w:color w:val="auto"/>
              </w:rPr>
              <w:t>Current liabilities:</w:t>
            </w: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622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Accounts payable and accrued expenses</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154,624</w:t>
            </w:r>
          </w:p>
        </w:tc>
        <w:tc>
          <w:tcPr>
            <w:tcW w:w="8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122,331</w:t>
            </w:r>
          </w:p>
        </w:tc>
      </w:tr>
      <w:tr>
        <w:trPr>
          <w:trHeight w:val="230"/>
        </w:trPr>
        <w:tc>
          <w:tcPr>
            <w:tcW w:w="6220" w:type="dxa"/>
            <w:vAlign w:val="bottom"/>
            <w:gridSpan w:val="3"/>
          </w:tcPr>
          <w:p>
            <w:pPr>
              <w:ind w:left="260"/>
              <w:spacing w:after="0"/>
              <w:rPr>
                <w:sz w:val="20"/>
                <w:szCs w:val="20"/>
                <w:color w:val="auto"/>
              </w:rPr>
            </w:pPr>
            <w:r>
              <w:rPr>
                <w:rFonts w:ascii="Arial" w:cs="Arial" w:eastAsia="Arial" w:hAnsi="Arial"/>
                <w:sz w:val="18"/>
                <w:szCs w:val="18"/>
                <w:color w:val="auto"/>
              </w:rPr>
              <w:t>Accrued income taxes payable</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85,723</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25,687</w:t>
            </w:r>
          </w:p>
        </w:tc>
      </w:tr>
      <w:tr>
        <w:trPr>
          <w:trHeight w:val="230"/>
        </w:trPr>
        <w:tc>
          <w:tcPr>
            <w:tcW w:w="622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Dividends payable</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66,202</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36,656</w:t>
            </w:r>
          </w:p>
        </w:tc>
      </w:tr>
      <w:tr>
        <w:trPr>
          <w:trHeight w:val="223"/>
        </w:trPr>
        <w:tc>
          <w:tcPr>
            <w:tcW w:w="6220" w:type="dxa"/>
            <w:vAlign w:val="bottom"/>
            <w:gridSpan w:val="3"/>
          </w:tcPr>
          <w:p>
            <w:pPr>
              <w:spacing w:after="0"/>
              <w:rPr>
                <w:sz w:val="20"/>
                <w:szCs w:val="20"/>
                <w:color w:val="auto"/>
              </w:rPr>
            </w:pPr>
            <w:r>
              <w:rPr>
                <w:rFonts w:ascii="Arial" w:cs="Arial" w:eastAsia="Arial" w:hAnsi="Arial"/>
                <w:sz w:val="18"/>
                <w:szCs w:val="18"/>
                <w:color w:val="auto"/>
              </w:rPr>
              <w:t>Total current liabilities</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306,549</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184,674</w:t>
            </w:r>
          </w:p>
        </w:tc>
      </w:tr>
      <w:tr>
        <w:trPr>
          <w:trHeight w:val="230"/>
        </w:trPr>
        <w:tc>
          <w:tcPr>
            <w:tcW w:w="6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9,410</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10,274</w:t>
            </w:r>
          </w:p>
        </w:tc>
      </w:tr>
      <w:tr>
        <w:trPr>
          <w:trHeight w:val="229"/>
        </w:trPr>
        <w:tc>
          <w:tcPr>
            <w:tcW w:w="62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Deferred income taxes, net</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127,176</w:t>
            </w: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128,196</w:t>
            </w:r>
          </w:p>
        </w:tc>
      </w:tr>
      <w:tr>
        <w:trPr>
          <w:trHeight w:val="223"/>
        </w:trPr>
        <w:tc>
          <w:tcPr>
            <w:tcW w:w="6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443,135</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323,144</w:t>
            </w:r>
          </w:p>
        </w:tc>
      </w:tr>
      <w:tr>
        <w:trPr>
          <w:trHeight w:val="230"/>
        </w:trPr>
        <w:tc>
          <w:tcPr>
            <w:tcW w:w="6220" w:type="dxa"/>
            <w:vAlign w:val="bottom"/>
            <w:gridSpan w:val="3"/>
          </w:tcPr>
          <w:p>
            <w:pPr>
              <w:spacing w:after="0"/>
              <w:rPr>
                <w:sz w:val="20"/>
                <w:szCs w:val="20"/>
                <w:color w:val="auto"/>
              </w:rPr>
            </w:pPr>
            <w:r>
              <w:rPr>
                <w:rFonts w:ascii="Arial" w:cs="Arial" w:eastAsia="Arial" w:hAnsi="Arial"/>
                <w:sz w:val="18"/>
                <w:szCs w:val="18"/>
                <w:color w:val="auto"/>
              </w:rPr>
              <w:t>Commitments and contingencies - see Note 9</w:t>
            </w: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6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0"/>
        </w:trPr>
        <w:tc>
          <w:tcPr>
            <w:tcW w:w="6220" w:type="dxa"/>
            <w:vAlign w:val="bottom"/>
            <w:gridSpan w:val="3"/>
          </w:tcPr>
          <w:p>
            <w:pPr>
              <w:spacing w:after="0"/>
              <w:rPr>
                <w:sz w:val="20"/>
                <w:szCs w:val="20"/>
                <w:color w:val="auto"/>
              </w:rPr>
            </w:pPr>
            <w:r>
              <w:rPr>
                <w:rFonts w:ascii="Arial" w:cs="Arial" w:eastAsia="Arial" w:hAnsi="Arial"/>
                <w:sz w:val="18"/>
                <w:szCs w:val="18"/>
                <w:color w:val="auto"/>
              </w:rPr>
              <w:t>Common stock ($0.01 par value):</w:t>
            </w: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622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Common stock - authorized 120,000 shares, issued 70,261 shares</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w:t>
            </w:r>
          </w:p>
        </w:tc>
      </w:tr>
      <w:tr>
        <w:trPr>
          <w:trHeight w:val="229"/>
        </w:trPr>
        <w:tc>
          <w:tcPr>
            <w:tcW w:w="6220" w:type="dxa"/>
            <w:vAlign w:val="bottom"/>
            <w:gridSpan w:val="3"/>
          </w:tcPr>
          <w:p>
            <w:pPr>
              <w:ind w:left="260"/>
              <w:spacing w:after="0"/>
              <w:rPr>
                <w:sz w:val="20"/>
                <w:szCs w:val="20"/>
                <w:color w:val="auto"/>
              </w:rPr>
            </w:pPr>
            <w:r>
              <w:rPr>
                <w:rFonts w:ascii="Arial" w:cs="Arial" w:eastAsia="Arial" w:hAnsi="Arial"/>
                <w:sz w:val="18"/>
                <w:szCs w:val="18"/>
                <w:color w:val="auto"/>
              </w:rPr>
              <w:t>Class A convertible common stock - authorized and issued 4,800 shares</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30"/>
        </w:trPr>
        <w:tc>
          <w:tcPr>
            <w:tcW w:w="6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Paid-in capital</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70,005</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67,989</w:t>
            </w:r>
          </w:p>
        </w:tc>
      </w:tr>
      <w:tr>
        <w:trPr>
          <w:trHeight w:val="230"/>
        </w:trPr>
        <w:tc>
          <w:tcPr>
            <w:tcW w:w="6220" w:type="dxa"/>
            <w:vAlign w:val="bottom"/>
            <w:gridSpan w:val="3"/>
          </w:tcPr>
          <w:p>
            <w:pPr>
              <w:spacing w:after="0"/>
              <w:rPr>
                <w:sz w:val="20"/>
                <w:szCs w:val="20"/>
                <w:color w:val="auto"/>
              </w:rPr>
            </w:pPr>
            <w:r>
              <w:rPr>
                <w:rFonts w:ascii="Arial" w:cs="Arial" w:eastAsia="Arial" w:hAnsi="Arial"/>
                <w:sz w:val="18"/>
                <w:szCs w:val="18"/>
                <w:color w:val="auto"/>
              </w:rPr>
              <w:t>Retained earnings</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1,281,784</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1,065,854</w:t>
            </w:r>
          </w:p>
        </w:tc>
      </w:tr>
      <w:tr>
        <w:trPr>
          <w:trHeight w:val="230"/>
        </w:trPr>
        <w:tc>
          <w:tcPr>
            <w:tcW w:w="6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Accumulated other comprehensive loss, net of tax</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(3,087)</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(1,596)</w:t>
            </w:r>
          </w:p>
        </w:tc>
      </w:tr>
      <w:tr>
        <w:trPr>
          <w:trHeight w:val="243"/>
        </w:trPr>
        <w:tc>
          <w:tcPr>
            <w:tcW w:w="6220" w:type="dxa"/>
            <w:vAlign w:val="bottom"/>
            <w:gridSpan w:val="3"/>
          </w:tcPr>
          <w:p>
            <w:pPr>
              <w:spacing w:after="0"/>
              <w:rPr>
                <w:sz w:val="20"/>
                <w:szCs w:val="20"/>
                <w:color w:val="auto"/>
              </w:rPr>
            </w:pPr>
            <w:r>
              <w:rPr>
                <w:rFonts w:ascii="Arial" w:cs="Arial" w:eastAsia="Arial" w:hAnsi="Arial"/>
                <w:sz w:val="18"/>
                <w:szCs w:val="18"/>
                <w:color w:val="auto"/>
                <w:w w:val="91"/>
              </w:rPr>
              <w:t>Common stock in treasury at cost – 26,126 shares at November 26, 2022 and 26,121</w:t>
            </w:r>
          </w:p>
        </w:tc>
        <w:tc>
          <w:tcPr>
            <w:tcW w:w="3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23"/>
        </w:trPr>
        <w:tc>
          <w:tcPr>
            <w:tcW w:w="6220" w:type="dxa"/>
            <w:vAlign w:val="bottom"/>
            <w:gridSpan w:val="3"/>
          </w:tcPr>
          <w:p>
            <w:pPr>
              <w:spacing w:after="0" w:line="203" w:lineRule="exact"/>
              <w:rPr>
                <w:sz w:val="20"/>
                <w:szCs w:val="20"/>
                <w:color w:val="auto"/>
              </w:rPr>
            </w:pPr>
            <w:r>
              <w:rPr>
                <w:rFonts w:ascii="Arial" w:cs="Arial" w:eastAsia="Arial" w:hAnsi="Arial"/>
                <w:sz w:val="18"/>
                <w:szCs w:val="18"/>
                <w:color w:val="auto"/>
              </w:rPr>
              <w:t>shares at May 28, 2022</w:t>
            </w:r>
          </w:p>
        </w:tc>
        <w:tc>
          <w:tcPr>
            <w:tcW w:w="380" w:type="dxa"/>
            <w:vAlign w:val="bottom"/>
          </w:tcPr>
          <w:p>
            <w:pPr>
              <w:spacing w:after="0"/>
              <w:rPr>
                <w:sz w:val="19"/>
                <w:szCs w:val="19"/>
                <w:color w:val="auto"/>
              </w:rPr>
            </w:pPr>
          </w:p>
        </w:tc>
        <w:tc>
          <w:tcPr>
            <w:tcW w:w="114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(28,496)</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line="203" w:lineRule="exact"/>
              <w:rPr>
                <w:sz w:val="20"/>
                <w:szCs w:val="20"/>
                <w:color w:val="auto"/>
              </w:rPr>
            </w:pPr>
            <w:r>
              <w:rPr>
                <w:rFonts w:ascii="Arial" w:cs="Arial" w:eastAsia="Arial" w:hAnsi="Arial"/>
                <w:sz w:val="18"/>
                <w:szCs w:val="18"/>
                <w:color w:val="auto"/>
              </w:rPr>
              <w:t>(28,447)</w:t>
            </w:r>
          </w:p>
        </w:tc>
      </w:tr>
      <w:tr>
        <w:trPr>
          <w:trHeight w:val="203"/>
        </w:trPr>
        <w:tc>
          <w:tcPr>
            <w:tcW w:w="622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Total Cal-Maine Foods, Inc. stockholders’ equity</w:t>
            </w:r>
          </w:p>
        </w:tc>
        <w:tc>
          <w:tcPr>
            <w:tcW w:w="3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1,320,957</w:t>
            </w: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1,104,551</w:t>
            </w:r>
          </w:p>
        </w:tc>
      </w:tr>
      <w:tr>
        <w:trPr>
          <w:trHeight w:val="230"/>
        </w:trPr>
        <w:tc>
          <w:tcPr>
            <w:tcW w:w="62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Noncontrolling interest in consolidated entity</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w:t>
            </w: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w:t>
            </w:r>
          </w:p>
        </w:tc>
      </w:tr>
      <w:tr>
        <w:trPr>
          <w:trHeight w:val="223"/>
        </w:trPr>
        <w:tc>
          <w:tcPr>
            <w:tcW w:w="6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1,320,305</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1,104,345</w:t>
            </w:r>
          </w:p>
        </w:tc>
      </w:tr>
      <w:tr>
        <w:trPr>
          <w:trHeight w:val="236"/>
        </w:trPr>
        <w:tc>
          <w:tcPr>
            <w:tcW w:w="6220" w:type="dxa"/>
            <w:vAlign w:val="bottom"/>
            <w:gridSpan w:val="3"/>
          </w:tcPr>
          <w:p>
            <w:pPr>
              <w:spacing w:after="0"/>
              <w:rPr>
                <w:sz w:val="20"/>
                <w:szCs w:val="20"/>
                <w:color w:val="auto"/>
              </w:rPr>
            </w:pPr>
            <w:r>
              <w:rPr>
                <w:rFonts w:ascii="Arial" w:cs="Arial" w:eastAsia="Arial" w:hAnsi="Arial"/>
                <w:sz w:val="18"/>
                <w:szCs w:val="18"/>
                <w:color w:val="auto"/>
              </w:rPr>
              <w:t>Total Liabilities and Stockholders’ Equity</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1,763,440</w:t>
            </w:r>
          </w:p>
        </w:tc>
        <w:tc>
          <w:tcPr>
            <w:tcW w:w="80" w:type="dxa"/>
            <w:vAlign w:val="bottom"/>
          </w:tcPr>
          <w:p>
            <w:pPr>
              <w:spacing w:after="0"/>
              <w:rPr>
                <w:sz w:val="20"/>
                <w:szCs w:val="20"/>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1,427,489</w:t>
            </w:r>
          </w:p>
        </w:tc>
      </w:tr>
      <w:tr>
        <w:trPr>
          <w:trHeight w:val="20"/>
        </w:trPr>
        <w:tc>
          <w:tcPr>
            <w:tcW w:w="4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See Notes to Condensed Consolidated Financial Statements.</w:t>
      </w:r>
    </w:p>
    <w:p>
      <w:pPr>
        <w:sectPr>
          <w:pgSz w:w="11900" w:h="16838" w:orient="portrait"/>
          <w:cols w:equalWidth="0" w:num="1">
            <w:col w:w="9240"/>
          </w:cols>
          <w:pgMar w:left="1320" w:top="297"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9240"/>
          </w:cols>
          <w:pgMar w:left="1320" w:top="297" w:right="133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3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20" w:type="dxa"/>
            <w:vAlign w:val="bottom"/>
            <w:gridSpan w:val="4"/>
          </w:tcPr>
          <w:p>
            <w:pPr>
              <w:jc w:val="center"/>
              <w:ind w:right="720"/>
              <w:spacing w:after="0"/>
              <w:rPr>
                <w:sz w:val="20"/>
                <w:szCs w:val="20"/>
                <w:color w:val="auto"/>
              </w:rPr>
            </w:pPr>
            <w:r>
              <w:rPr>
                <w:rFonts w:ascii="Arial" w:cs="Arial" w:eastAsia="Arial" w:hAnsi="Arial"/>
                <w:sz w:val="18"/>
                <w:szCs w:val="18"/>
                <w:color w:val="0000FF"/>
                <w:w w:val="90"/>
              </w:rPr>
              <w:t>Index</w:t>
            </w: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50" w:type="dxa"/>
            <w:vAlign w:val="bottom"/>
          </w:tcPr>
          <w:p>
            <w:pPr>
              <w:spacing w:after="0"/>
              <w:rPr>
                <w:sz w:val="17"/>
                <w:szCs w:val="17"/>
                <w:color w:val="auto"/>
              </w:rPr>
            </w:pPr>
          </w:p>
        </w:tc>
        <w:tc>
          <w:tcPr>
            <w:tcW w:w="19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1860" w:type="dxa"/>
            <w:vAlign w:val="bottom"/>
            <w:gridSpan w:val="5"/>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1"/>
        </w:trPr>
        <w:tc>
          <w:tcPr>
            <w:tcW w:w="3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40" w:type="dxa"/>
            <w:vAlign w:val="bottom"/>
            <w:gridSpan w:val="9"/>
          </w:tcPr>
          <w:p>
            <w:pPr>
              <w:spacing w:after="0"/>
              <w:rPr>
                <w:sz w:val="20"/>
                <w:szCs w:val="20"/>
                <w:color w:val="auto"/>
              </w:rPr>
            </w:pPr>
            <w:r>
              <w:rPr>
                <w:rFonts w:ascii="Arial" w:cs="Arial" w:eastAsia="Arial" w:hAnsi="Arial"/>
                <w:sz w:val="18"/>
                <w:szCs w:val="18"/>
                <w:b w:val="1"/>
                <w:bCs w:val="1"/>
                <w:color w:val="auto"/>
                <w:w w:val="96"/>
              </w:rPr>
              <w:t>Cal-Maine Foods, Inc. and Subsidiaries</w:t>
            </w: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6680" w:type="dxa"/>
            <w:vAlign w:val="bottom"/>
            <w:gridSpan w:val="11"/>
          </w:tcPr>
          <w:p>
            <w:pPr>
              <w:jc w:val="center"/>
              <w:ind w:left="2470"/>
              <w:spacing w:after="0"/>
              <w:rPr>
                <w:sz w:val="20"/>
                <w:szCs w:val="20"/>
                <w:color w:val="auto"/>
              </w:rPr>
            </w:pPr>
            <w:r>
              <w:rPr>
                <w:rFonts w:ascii="Arial" w:cs="Arial" w:eastAsia="Arial" w:hAnsi="Arial"/>
                <w:sz w:val="18"/>
                <w:szCs w:val="18"/>
                <w:b w:val="1"/>
                <w:bCs w:val="1"/>
                <w:color w:val="auto"/>
                <w:w w:val="87"/>
              </w:rPr>
              <w:t>Condensed Consolidated Statements of Operations</w:t>
            </w: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3040" w:type="dxa"/>
            <w:vAlign w:val="bottom"/>
            <w:gridSpan w:val="8"/>
          </w:tcPr>
          <w:p>
            <w:pPr>
              <w:jc w:val="center"/>
              <w:ind w:right="140"/>
              <w:spacing w:after="0"/>
              <w:rPr>
                <w:sz w:val="20"/>
                <w:szCs w:val="20"/>
                <w:color w:val="auto"/>
              </w:rPr>
            </w:pPr>
            <w:r>
              <w:rPr>
                <w:rFonts w:ascii="Arial" w:cs="Arial" w:eastAsia="Arial" w:hAnsi="Arial"/>
                <w:sz w:val="18"/>
                <w:szCs w:val="18"/>
                <w:i w:val="1"/>
                <w:iCs w:val="1"/>
                <w:color w:val="auto"/>
                <w:w w:val="87"/>
              </w:rPr>
              <w:t>(In thousands, except per share amounts)</w:t>
            </w:r>
          </w:p>
        </w:tc>
        <w:tc>
          <w:tcPr>
            <w:tcW w:w="250" w:type="dxa"/>
            <w:vAlign w:val="bottom"/>
          </w:tcPr>
          <w:p>
            <w:pPr>
              <w:spacing w:after="0"/>
              <w:rPr>
                <w:sz w:val="18"/>
                <w:szCs w:val="18"/>
                <w:color w:val="auto"/>
              </w:rPr>
            </w:pPr>
          </w:p>
        </w:tc>
        <w:tc>
          <w:tcPr>
            <w:tcW w:w="19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00" w:type="dxa"/>
            <w:vAlign w:val="bottom"/>
            <w:gridSpan w:val="5"/>
          </w:tcPr>
          <w:p>
            <w:pPr>
              <w:jc w:val="center"/>
              <w:ind w:left="170"/>
              <w:spacing w:after="0"/>
              <w:rPr>
                <w:sz w:val="20"/>
                <w:szCs w:val="20"/>
                <w:color w:val="auto"/>
              </w:rPr>
            </w:pPr>
            <w:r>
              <w:rPr>
                <w:rFonts w:ascii="Arial" w:cs="Arial" w:eastAsia="Arial" w:hAnsi="Arial"/>
                <w:sz w:val="18"/>
                <w:szCs w:val="18"/>
                <w:i w:val="1"/>
                <w:iCs w:val="1"/>
                <w:color w:val="auto"/>
                <w:w w:val="93"/>
              </w:rPr>
              <w:t>(Unaudited)</w:t>
            </w: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50" w:type="dxa"/>
            <w:vAlign w:val="bottom"/>
          </w:tcPr>
          <w:p>
            <w:pPr>
              <w:spacing w:after="0"/>
              <w:rPr>
                <w:sz w:val="19"/>
                <w:szCs w:val="19"/>
                <w:color w:val="auto"/>
              </w:rPr>
            </w:pPr>
          </w:p>
        </w:tc>
        <w:tc>
          <w:tcPr>
            <w:tcW w:w="19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00" w:type="dxa"/>
            <w:vAlign w:val="bottom"/>
            <w:gridSpan w:val="5"/>
          </w:tcPr>
          <w:p>
            <w:pPr>
              <w:jc w:val="center"/>
              <w:ind w:left="310"/>
              <w:spacing w:after="0"/>
              <w:rPr>
                <w:sz w:val="20"/>
                <w:szCs w:val="20"/>
                <w:color w:val="auto"/>
              </w:rPr>
            </w:pPr>
            <w:r>
              <w:rPr>
                <w:rFonts w:ascii="Arial" w:cs="Arial" w:eastAsia="Arial" w:hAnsi="Arial"/>
                <w:sz w:val="18"/>
                <w:szCs w:val="18"/>
                <w:color w:val="auto"/>
                <w:w w:val="90"/>
              </w:rPr>
              <w:t>Thirteen Weeks Ended</w:t>
            </w: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50" w:type="dxa"/>
            <w:vAlign w:val="bottom"/>
          </w:tcPr>
          <w:p>
            <w:pPr>
              <w:spacing w:after="0"/>
              <w:rPr>
                <w:sz w:val="18"/>
                <w:szCs w:val="18"/>
                <w:color w:val="auto"/>
              </w:rPr>
            </w:pPr>
          </w:p>
        </w:tc>
        <w:tc>
          <w:tcPr>
            <w:tcW w:w="190" w:type="dxa"/>
            <w:vAlign w:val="bottom"/>
          </w:tcPr>
          <w:p>
            <w:pPr>
              <w:spacing w:after="0"/>
              <w:rPr>
                <w:sz w:val="18"/>
                <w:szCs w:val="18"/>
                <w:color w:val="auto"/>
              </w:rPr>
            </w:pPr>
          </w:p>
        </w:tc>
        <w:tc>
          <w:tcPr>
            <w:tcW w:w="2580" w:type="dxa"/>
            <w:vAlign w:val="bottom"/>
            <w:gridSpan w:val="5"/>
          </w:tcPr>
          <w:p>
            <w:pPr>
              <w:jc w:val="right"/>
              <w:ind w:right="580"/>
              <w:spacing w:after="0"/>
              <w:rPr>
                <w:sz w:val="20"/>
                <w:szCs w:val="20"/>
                <w:color w:val="auto"/>
              </w:rPr>
            </w:pPr>
            <w:r>
              <w:rPr>
                <w:rFonts w:ascii="Arial" w:cs="Arial" w:eastAsia="Arial" w:hAnsi="Arial"/>
                <w:sz w:val="18"/>
                <w:szCs w:val="18"/>
                <w:color w:val="auto"/>
                <w:w w:val="97"/>
              </w:rPr>
              <w:t>Twenty-six Weeks Ended</w:t>
            </w:r>
          </w:p>
        </w:tc>
        <w:tc>
          <w:tcPr>
            <w:tcW w:w="0" w:type="dxa"/>
            <w:vAlign w:val="bottom"/>
          </w:tcPr>
          <w:p>
            <w:pPr>
              <w:spacing w:after="0"/>
              <w:rPr>
                <w:sz w:val="1"/>
                <w:szCs w:val="1"/>
                <w:color w:val="auto"/>
              </w:rPr>
            </w:pPr>
          </w:p>
        </w:tc>
      </w:tr>
      <w:tr>
        <w:trPr>
          <w:trHeight w:val="210"/>
        </w:trPr>
        <w:tc>
          <w:tcPr>
            <w:tcW w:w="3200" w:type="dxa"/>
            <w:vAlign w:val="bottom"/>
          </w:tcPr>
          <w:p>
            <w:pPr>
              <w:spacing w:after="0"/>
              <w:rPr>
                <w:sz w:val="18"/>
                <w:szCs w:val="18"/>
                <w:color w:val="auto"/>
              </w:rPr>
            </w:pPr>
          </w:p>
        </w:tc>
        <w:tc>
          <w:tcPr>
            <w:tcW w:w="2980" w:type="dxa"/>
            <w:vAlign w:val="bottom"/>
            <w:tcBorders>
              <w:top w:val="single" w:sz="8" w:color="auto"/>
            </w:tcBorders>
            <w:gridSpan w:val="7"/>
          </w:tcPr>
          <w:p>
            <w:pPr>
              <w:jc w:val="center"/>
              <w:spacing w:after="0"/>
              <w:rPr>
                <w:sz w:val="20"/>
                <w:szCs w:val="20"/>
                <w:color w:val="auto"/>
              </w:rPr>
            </w:pPr>
            <w:r>
              <w:rPr>
                <w:rFonts w:ascii="Arial" w:cs="Arial" w:eastAsia="Arial" w:hAnsi="Arial"/>
                <w:sz w:val="18"/>
                <w:szCs w:val="18"/>
                <w:color w:val="auto"/>
                <w:w w:val="91"/>
              </w:rPr>
              <w:t>November 26, 2022 November 27, 2021</w:t>
            </w:r>
          </w:p>
        </w:tc>
        <w:tc>
          <w:tcPr>
            <w:tcW w:w="60" w:type="dxa"/>
            <w:vAlign w:val="bottom"/>
          </w:tcPr>
          <w:p>
            <w:pPr>
              <w:spacing w:after="0"/>
              <w:rPr>
                <w:sz w:val="18"/>
                <w:szCs w:val="18"/>
                <w:color w:val="auto"/>
              </w:rPr>
            </w:pPr>
          </w:p>
        </w:tc>
        <w:tc>
          <w:tcPr>
            <w:tcW w:w="3000" w:type="dxa"/>
            <w:vAlign w:val="bottom"/>
            <w:tcBorders>
              <w:top w:val="single" w:sz="8" w:color="auto"/>
            </w:tcBorders>
            <w:gridSpan w:val="6"/>
          </w:tcPr>
          <w:p>
            <w:pPr>
              <w:jc w:val="right"/>
              <w:spacing w:after="0"/>
              <w:rPr>
                <w:sz w:val="20"/>
                <w:szCs w:val="20"/>
                <w:color w:val="auto"/>
              </w:rPr>
            </w:pPr>
            <w:r>
              <w:rPr>
                <w:rFonts w:ascii="Arial" w:cs="Arial" w:eastAsia="Arial" w:hAnsi="Arial"/>
                <w:sz w:val="18"/>
                <w:szCs w:val="18"/>
                <w:color w:val="auto"/>
                <w:w w:val="92"/>
              </w:rPr>
              <w:t>November 26, 2022 November 27, 2021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0" w:type="dxa"/>
            <w:vAlign w:val="bottom"/>
            <w:tcBorders>
              <w:right w:val="single" w:sz="8" w:color="auto"/>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Borders>
              <w:right w:val="single" w:sz="8" w:color="CCEEFF"/>
            </w:tcBorders>
          </w:tcPr>
          <w:p>
            <w:pPr>
              <w:spacing w:after="0" w:line="20" w:lineRule="exact"/>
              <w:rPr>
                <w:sz w:val="1"/>
                <w:szCs w:val="1"/>
                <w:color w:val="auto"/>
              </w:rPr>
            </w:pPr>
          </w:p>
        </w:tc>
        <w:tc>
          <w:tcPr>
            <w:tcW w:w="250" w:type="dxa"/>
            <w:vAlign w:val="bottom"/>
            <w:shd w:val="clear" w:color="auto" w:fill="000000"/>
          </w:tcPr>
          <w:p>
            <w:pPr>
              <w:spacing w:after="0" w:line="20" w:lineRule="exact"/>
              <w:rPr>
                <w:sz w:val="1"/>
                <w:szCs w:val="1"/>
                <w:color w:val="auto"/>
              </w:rPr>
            </w:pPr>
          </w:p>
        </w:tc>
        <w:tc>
          <w:tcPr>
            <w:tcW w:w="19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240" w:type="dxa"/>
            <w:vAlign w:val="bottom"/>
            <w:shd w:val="clear" w:color="auto" w:fill="CCEEFF"/>
          </w:tcPr>
          <w:p>
            <w:pPr>
              <w:jc w:val="right"/>
              <w:ind w:right="82"/>
              <w:spacing w:after="0"/>
              <w:rPr>
                <w:sz w:val="20"/>
                <w:szCs w:val="20"/>
                <w:color w:val="auto"/>
              </w:rPr>
            </w:pPr>
            <w:r>
              <w:rPr>
                <w:rFonts w:ascii="Arial" w:cs="Arial" w:eastAsia="Arial" w:hAnsi="Arial"/>
                <w:sz w:val="15"/>
                <w:szCs w:val="15"/>
                <w:color w:val="auto"/>
                <w:w w:val="71"/>
              </w:rPr>
              <w:t>$</w:t>
            </w:r>
          </w:p>
        </w:tc>
        <w:tc>
          <w:tcPr>
            <w:tcW w:w="12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801,700</w:t>
            </w:r>
          </w:p>
        </w:tc>
        <w:tc>
          <w:tcPr>
            <w:tcW w:w="60" w:type="dxa"/>
            <w:vAlign w:val="bottom"/>
            <w:tcBorders>
              <w:left w:val="single" w:sz="8" w:color="CCEEFF"/>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spacing w:after="0"/>
              <w:rPr>
                <w:sz w:val="19"/>
                <w:szCs w:val="19"/>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381,723</w:t>
            </w:r>
          </w:p>
        </w:tc>
        <w:tc>
          <w:tcPr>
            <w:tcW w:w="60" w:type="dxa"/>
            <w:vAlign w:val="bottom"/>
            <w:tcBorders>
              <w:right w:val="single" w:sz="8" w:color="CCEEFF"/>
            </w:tcBorders>
            <w:shd w:val="clear" w:color="auto" w:fill="CCEEFF"/>
          </w:tcPr>
          <w:p>
            <w:pPr>
              <w:spacing w:after="0"/>
              <w:rPr>
                <w:sz w:val="19"/>
                <w:szCs w:val="19"/>
                <w:color w:val="auto"/>
              </w:rPr>
            </w:pPr>
          </w:p>
        </w:tc>
        <w:tc>
          <w:tcPr>
            <w:tcW w:w="250" w:type="dxa"/>
            <w:vAlign w:val="bottom"/>
            <w:shd w:val="clear" w:color="auto" w:fill="CCEEFF"/>
          </w:tcPr>
          <w:p>
            <w:pPr>
              <w:jc w:val="right"/>
              <w:ind w:right="94"/>
              <w:spacing w:after="0"/>
              <w:rPr>
                <w:sz w:val="20"/>
                <w:szCs w:val="20"/>
                <w:color w:val="auto"/>
              </w:rPr>
            </w:pPr>
            <w:r>
              <w:rPr>
                <w:rFonts w:ascii="Arial" w:cs="Arial" w:eastAsia="Arial" w:hAnsi="Arial"/>
                <w:sz w:val="15"/>
                <w:szCs w:val="15"/>
                <w:color w:val="auto"/>
                <w:w w:val="71"/>
              </w:rPr>
              <w:t>$</w:t>
            </w:r>
          </w:p>
        </w:tc>
        <w:tc>
          <w:tcPr>
            <w:tcW w:w="190" w:type="dxa"/>
            <w:vAlign w:val="bottom"/>
            <w:shd w:val="clear" w:color="auto" w:fill="CCEEFF"/>
          </w:tcPr>
          <w:p>
            <w:pPr>
              <w:spacing w:after="0"/>
              <w:rPr>
                <w:sz w:val="19"/>
                <w:szCs w:val="19"/>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1,460,044</w:t>
            </w:r>
          </w:p>
        </w:tc>
        <w:tc>
          <w:tcPr>
            <w:tcW w:w="28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706,709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483,851</w:t>
            </w: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337,976</w:t>
            </w:r>
          </w:p>
        </w:tc>
        <w:tc>
          <w:tcPr>
            <w:tcW w:w="60" w:type="dxa"/>
            <w:vAlign w:val="bottom"/>
          </w:tcPr>
          <w:p>
            <w:pPr>
              <w:spacing w:after="0"/>
              <w:rPr>
                <w:sz w:val="19"/>
                <w:szCs w:val="19"/>
                <w:color w:val="auto"/>
              </w:rPr>
            </w:pPr>
          </w:p>
        </w:tc>
        <w:tc>
          <w:tcPr>
            <w:tcW w:w="250" w:type="dxa"/>
            <w:vAlign w:val="bottom"/>
            <w:tcBorders>
              <w:bottom w:val="single" w:sz="8" w:color="auto"/>
            </w:tcBorders>
          </w:tcPr>
          <w:p>
            <w:pPr>
              <w:spacing w:after="0"/>
              <w:rPr>
                <w:sz w:val="19"/>
                <w:szCs w:val="19"/>
                <w:color w:val="auto"/>
              </w:rPr>
            </w:pPr>
          </w:p>
        </w:tc>
        <w:tc>
          <w:tcPr>
            <w:tcW w:w="19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924,705</w:t>
            </w:r>
          </w:p>
        </w:tc>
        <w:tc>
          <w:tcPr>
            <w:tcW w:w="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656,317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CEEFF"/>
          </w:tcPr>
          <w:p>
            <w:pPr>
              <w:spacing w:after="0"/>
              <w:rPr>
                <w:sz w:val="19"/>
                <w:szCs w:val="19"/>
                <w:color w:val="auto"/>
              </w:rPr>
            </w:pPr>
          </w:p>
        </w:tc>
        <w:tc>
          <w:tcPr>
            <w:tcW w:w="12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317,849</w:t>
            </w:r>
          </w:p>
        </w:tc>
        <w:tc>
          <w:tcPr>
            <w:tcW w:w="60" w:type="dxa"/>
            <w:vAlign w:val="bottom"/>
            <w:tcBorders>
              <w:left w:val="single" w:sz="8" w:color="CCEEFF"/>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43,747</w:t>
            </w:r>
          </w:p>
        </w:tc>
        <w:tc>
          <w:tcPr>
            <w:tcW w:w="60" w:type="dxa"/>
            <w:vAlign w:val="bottom"/>
            <w:tcBorders>
              <w:right w:val="single" w:sz="8" w:color="CCEEFF"/>
            </w:tcBorders>
            <w:shd w:val="clear" w:color="auto" w:fill="CCEEFF"/>
          </w:tcPr>
          <w:p>
            <w:pPr>
              <w:spacing w:after="0"/>
              <w:rPr>
                <w:sz w:val="19"/>
                <w:szCs w:val="19"/>
                <w:color w:val="auto"/>
              </w:rPr>
            </w:pPr>
          </w:p>
        </w:tc>
        <w:tc>
          <w:tcPr>
            <w:tcW w:w="250" w:type="dxa"/>
            <w:vAlign w:val="bottom"/>
            <w:shd w:val="clear" w:color="auto" w:fill="CCEEFF"/>
          </w:tcPr>
          <w:p>
            <w:pPr>
              <w:spacing w:after="0"/>
              <w:rPr>
                <w:sz w:val="19"/>
                <w:szCs w:val="19"/>
                <w:color w:val="auto"/>
              </w:rPr>
            </w:pPr>
          </w:p>
        </w:tc>
        <w:tc>
          <w:tcPr>
            <w:tcW w:w="190" w:type="dxa"/>
            <w:vAlign w:val="bottom"/>
            <w:shd w:val="clear" w:color="auto" w:fill="CCEEFF"/>
          </w:tcPr>
          <w:p>
            <w:pPr>
              <w:spacing w:after="0"/>
              <w:rPr>
                <w:sz w:val="19"/>
                <w:szCs w:val="19"/>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535,339</w:t>
            </w: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0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57,952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47,780</w:t>
            </w:r>
          </w:p>
        </w:tc>
        <w:tc>
          <w:tcPr>
            <w:tcW w:w="60" w:type="dxa"/>
            <w:vAlign w:val="bottom"/>
          </w:tcPr>
          <w:p>
            <w:pPr>
              <w:spacing w:after="0"/>
              <w:rPr>
                <w:sz w:val="19"/>
                <w:szCs w:val="19"/>
                <w:color w:val="auto"/>
              </w:rPr>
            </w:pPr>
          </w:p>
        </w:tc>
        <w:tc>
          <w:tcPr>
            <w:tcW w:w="250" w:type="dxa"/>
            <w:vAlign w:val="bottom"/>
          </w:tcPr>
          <w:p>
            <w:pPr>
              <w:spacing w:after="0"/>
              <w:rPr>
                <w:sz w:val="19"/>
                <w:szCs w:val="19"/>
                <w:color w:val="auto"/>
              </w:rPr>
            </w:pPr>
          </w:p>
        </w:tc>
        <w:tc>
          <w:tcPr>
            <w:tcW w:w="19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111,559</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94,305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(Gain) loss on disposal of fixed assets</w:t>
            </w:r>
          </w:p>
        </w:tc>
        <w:tc>
          <w:tcPr>
            <w:tcW w:w="24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6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(1,968)</w:t>
            </w:r>
          </w:p>
        </w:tc>
        <w:tc>
          <w:tcPr>
            <w:tcW w:w="250" w:type="dxa"/>
            <w:vAlign w:val="bottom"/>
            <w:shd w:val="clear" w:color="auto" w:fill="CCEEFF"/>
          </w:tcPr>
          <w:p>
            <w:pPr>
              <w:spacing w:after="0"/>
              <w:rPr>
                <w:sz w:val="18"/>
                <w:szCs w:val="18"/>
                <w:color w:val="auto"/>
              </w:rPr>
            </w:pPr>
          </w:p>
        </w:tc>
        <w:tc>
          <w:tcPr>
            <w:tcW w:w="19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0" w:type="dxa"/>
            <w:vAlign w:val="bottom"/>
            <w:tcBorders>
              <w:right w:val="single" w:sz="8" w:color="auto"/>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250" w:type="dxa"/>
            <w:vAlign w:val="bottom"/>
            <w:shd w:val="clear" w:color="auto" w:fill="000000"/>
          </w:tcPr>
          <w:p>
            <w:pPr>
              <w:spacing w:after="0" w:line="20" w:lineRule="exact"/>
              <w:rPr>
                <w:sz w:val="1"/>
                <w:szCs w:val="1"/>
                <w:color w:val="auto"/>
              </w:rPr>
            </w:pPr>
          </w:p>
        </w:tc>
        <w:tc>
          <w:tcPr>
            <w:tcW w:w="19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00" w:type="dxa"/>
            <w:vAlign w:val="bottom"/>
          </w:tcPr>
          <w:p>
            <w:pPr>
              <w:spacing w:after="0"/>
              <w:rPr>
                <w:sz w:val="20"/>
                <w:szCs w:val="20"/>
                <w:color w:val="auto"/>
              </w:rPr>
            </w:pPr>
            <w:r>
              <w:rPr>
                <w:rFonts w:ascii="Arial" w:cs="Arial" w:eastAsia="Arial" w:hAnsi="Arial"/>
                <w:sz w:val="18"/>
                <w:szCs w:val="18"/>
                <w:color w:val="auto"/>
              </w:rPr>
              <w:t>Operating income (loss)</w:t>
            </w:r>
          </w:p>
        </w:tc>
        <w:tc>
          <w:tcPr>
            <w:tcW w:w="24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259,868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(2,065)</w:t>
            </w:r>
          </w:p>
        </w:tc>
        <w:tc>
          <w:tcPr>
            <w:tcW w:w="250" w:type="dxa"/>
            <w:vAlign w:val="bottom"/>
          </w:tcPr>
          <w:p>
            <w:pPr>
              <w:spacing w:after="0"/>
              <w:rPr>
                <w:sz w:val="19"/>
                <w:szCs w:val="19"/>
                <w:color w:val="auto"/>
              </w:rPr>
            </w:pPr>
          </w:p>
        </w:tc>
        <w:tc>
          <w:tcPr>
            <w:tcW w:w="19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423,718</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(41,732)</w:t>
            </w:r>
          </w:p>
        </w:tc>
        <w:tc>
          <w:tcPr>
            <w:tcW w:w="0" w:type="dxa"/>
            <w:vAlign w:val="bottom"/>
          </w:tcPr>
          <w:p>
            <w:pPr>
              <w:spacing w:after="0"/>
              <w:rPr>
                <w:sz w:val="1"/>
                <w:szCs w:val="1"/>
                <w:color w:val="auto"/>
              </w:rPr>
            </w:pPr>
          </w:p>
        </w:tc>
      </w:tr>
      <w:tr>
        <w:trPr>
          <w:trHeight w:val="230"/>
        </w:trPr>
        <w:tc>
          <w:tcPr>
            <w:tcW w:w="3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60" w:type="dxa"/>
            <w:vAlign w:val="bottom"/>
            <w:tcBorders>
              <w:left w:val="single" w:sz="8" w:color="CCEEFF"/>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40" w:type="dxa"/>
            <w:vAlign w:val="bottom"/>
            <w:tcBorders>
              <w:right w:val="single" w:sz="8" w:color="CCEEFF"/>
            </w:tcBorders>
            <w:shd w:val="clear" w:color="auto" w:fill="CCEEFF"/>
          </w:tcPr>
          <w:p>
            <w:pPr>
              <w:spacing w:after="0"/>
              <w:rPr>
                <w:sz w:val="19"/>
                <w:szCs w:val="19"/>
                <w:color w:val="auto"/>
              </w:rPr>
            </w:pPr>
          </w:p>
        </w:tc>
        <w:tc>
          <w:tcPr>
            <w:tcW w:w="60" w:type="dxa"/>
            <w:vAlign w:val="bottom"/>
            <w:tcBorders>
              <w:right w:val="single" w:sz="8" w:color="CCEEFF"/>
            </w:tcBorders>
            <w:shd w:val="clear" w:color="auto" w:fill="CCEEFF"/>
          </w:tcPr>
          <w:p>
            <w:pPr>
              <w:spacing w:after="0"/>
              <w:rPr>
                <w:sz w:val="19"/>
                <w:szCs w:val="19"/>
                <w:color w:val="auto"/>
              </w:rPr>
            </w:pPr>
          </w:p>
        </w:tc>
        <w:tc>
          <w:tcPr>
            <w:tcW w:w="250" w:type="dxa"/>
            <w:vAlign w:val="bottom"/>
            <w:shd w:val="clear" w:color="auto" w:fill="CCEEFF"/>
          </w:tcPr>
          <w:p>
            <w:pPr>
              <w:spacing w:after="0"/>
              <w:rPr>
                <w:sz w:val="19"/>
                <w:szCs w:val="19"/>
                <w:color w:val="auto"/>
              </w:rPr>
            </w:pPr>
          </w:p>
        </w:tc>
        <w:tc>
          <w:tcPr>
            <w:tcW w:w="190" w:type="dxa"/>
            <w:vAlign w:val="bottom"/>
            <w:shd w:val="clear" w:color="auto" w:fill="CCEEFF"/>
          </w:tcPr>
          <w:p>
            <w:pPr>
              <w:spacing w:after="0"/>
              <w:rPr>
                <w:sz w:val="19"/>
                <w:szCs w:val="19"/>
                <w:color w:val="auto"/>
              </w:rPr>
            </w:pPr>
          </w:p>
        </w:tc>
        <w:tc>
          <w:tcPr>
            <w:tcW w:w="1040" w:type="dxa"/>
            <w:vAlign w:val="bottom"/>
            <w:tcBorders>
              <w:right w:val="single" w:sz="8" w:color="CCEEFF"/>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00" w:type="dxa"/>
            <w:vAlign w:val="bottom"/>
          </w:tcPr>
          <w:p>
            <w:pPr>
              <w:ind w:left="260"/>
              <w:spacing w:after="0"/>
              <w:rPr>
                <w:sz w:val="20"/>
                <w:szCs w:val="20"/>
                <w:color w:val="auto"/>
              </w:rPr>
            </w:pPr>
            <w:r>
              <w:rPr>
                <w:rFonts w:ascii="Arial" w:cs="Arial" w:eastAsia="Arial" w:hAnsi="Arial"/>
                <w:sz w:val="18"/>
                <w:szCs w:val="18"/>
                <w:color w:val="auto"/>
              </w:rPr>
              <w:t>Interest income, net</w:t>
            </w:r>
          </w:p>
        </w:tc>
        <w:tc>
          <w:tcPr>
            <w:tcW w:w="24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1,930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129</w:t>
            </w:r>
          </w:p>
        </w:tc>
        <w:tc>
          <w:tcPr>
            <w:tcW w:w="60" w:type="dxa"/>
            <w:vAlign w:val="bottom"/>
          </w:tcPr>
          <w:p>
            <w:pPr>
              <w:spacing w:after="0"/>
              <w:rPr>
                <w:sz w:val="19"/>
                <w:szCs w:val="19"/>
                <w:color w:val="auto"/>
              </w:rPr>
            </w:pPr>
          </w:p>
        </w:tc>
        <w:tc>
          <w:tcPr>
            <w:tcW w:w="250" w:type="dxa"/>
            <w:vAlign w:val="bottom"/>
          </w:tcPr>
          <w:p>
            <w:pPr>
              <w:spacing w:after="0"/>
              <w:rPr>
                <w:sz w:val="19"/>
                <w:szCs w:val="19"/>
                <w:color w:val="auto"/>
              </w:rPr>
            </w:pPr>
          </w:p>
        </w:tc>
        <w:tc>
          <w:tcPr>
            <w:tcW w:w="19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2,833</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00" w:type="dxa"/>
            <w:vAlign w:val="bottom"/>
            <w:tcBorders>
              <w:right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Royalty income</w:t>
            </w:r>
          </w:p>
        </w:tc>
        <w:tc>
          <w:tcPr>
            <w:tcW w:w="240" w:type="dxa"/>
            <w:vAlign w:val="bottom"/>
            <w:shd w:val="clear" w:color="auto" w:fill="CCEEFF"/>
          </w:tcPr>
          <w:p>
            <w:pPr>
              <w:spacing w:after="0"/>
              <w:rPr>
                <w:sz w:val="19"/>
                <w:szCs w:val="19"/>
                <w:color w:val="auto"/>
              </w:rPr>
            </w:pPr>
          </w:p>
        </w:tc>
        <w:tc>
          <w:tcPr>
            <w:tcW w:w="12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60" w:type="dxa"/>
            <w:vAlign w:val="bottom"/>
            <w:tcBorders>
              <w:left w:val="single" w:sz="8" w:color="CCEEFF"/>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60" w:type="dxa"/>
            <w:vAlign w:val="bottom"/>
            <w:tcBorders>
              <w:right w:val="single" w:sz="8" w:color="CCEEFF"/>
            </w:tcBorders>
            <w:shd w:val="clear" w:color="auto" w:fill="CCEEFF"/>
          </w:tcPr>
          <w:p>
            <w:pPr>
              <w:spacing w:after="0"/>
              <w:rPr>
                <w:sz w:val="19"/>
                <w:szCs w:val="19"/>
                <w:color w:val="auto"/>
              </w:rPr>
            </w:pPr>
          </w:p>
        </w:tc>
        <w:tc>
          <w:tcPr>
            <w:tcW w:w="250" w:type="dxa"/>
            <w:vAlign w:val="bottom"/>
            <w:shd w:val="clear" w:color="auto" w:fill="CCEEFF"/>
          </w:tcPr>
          <w:p>
            <w:pPr>
              <w:spacing w:after="0"/>
              <w:rPr>
                <w:sz w:val="19"/>
                <w:szCs w:val="19"/>
                <w:color w:val="auto"/>
              </w:rPr>
            </w:pPr>
          </w:p>
        </w:tc>
        <w:tc>
          <w:tcPr>
            <w:tcW w:w="190" w:type="dxa"/>
            <w:vAlign w:val="bottom"/>
            <w:shd w:val="clear" w:color="auto" w:fill="CCEEFF"/>
          </w:tcPr>
          <w:p>
            <w:pPr>
              <w:spacing w:after="0"/>
              <w:rPr>
                <w:sz w:val="19"/>
                <w:szCs w:val="19"/>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260"/>
              <w:spacing w:after="0"/>
              <w:rPr>
                <w:sz w:val="20"/>
                <w:szCs w:val="20"/>
                <w:color w:val="auto"/>
              </w:rPr>
            </w:pPr>
            <w:r>
              <w:rPr>
                <w:rFonts w:ascii="Arial" w:cs="Arial" w:eastAsia="Arial" w:hAnsi="Arial"/>
                <w:sz w:val="18"/>
                <w:szCs w:val="18"/>
                <w:color w:val="auto"/>
                <w:w w:val="94"/>
              </w:rPr>
              <w:t>Equity income (loss) of unconsolidated</w:t>
            </w: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50" w:type="dxa"/>
            <w:vAlign w:val="bottom"/>
          </w:tcPr>
          <w:p>
            <w:pPr>
              <w:spacing w:after="0"/>
              <w:rPr>
                <w:sz w:val="21"/>
                <w:szCs w:val="21"/>
                <w:color w:val="auto"/>
              </w:rPr>
            </w:pPr>
          </w:p>
        </w:tc>
        <w:tc>
          <w:tcPr>
            <w:tcW w:w="19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260"/>
              <w:spacing w:after="0"/>
              <w:rPr>
                <w:sz w:val="20"/>
                <w:szCs w:val="20"/>
                <w:color w:val="auto"/>
              </w:rPr>
            </w:pPr>
            <w:r>
              <w:rPr>
                <w:rFonts w:ascii="Arial" w:cs="Arial" w:eastAsia="Arial" w:hAnsi="Arial"/>
                <w:sz w:val="18"/>
                <w:szCs w:val="18"/>
                <w:color w:val="auto"/>
              </w:rPr>
              <w:t>entities</w:t>
            </w:r>
          </w:p>
        </w:tc>
        <w:tc>
          <w:tcPr>
            <w:tcW w:w="24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(987)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264</w:t>
            </w:r>
          </w:p>
        </w:tc>
        <w:tc>
          <w:tcPr>
            <w:tcW w:w="60" w:type="dxa"/>
            <w:vAlign w:val="bottom"/>
          </w:tcPr>
          <w:p>
            <w:pPr>
              <w:spacing w:after="0"/>
              <w:rPr>
                <w:sz w:val="18"/>
                <w:szCs w:val="18"/>
                <w:color w:val="auto"/>
              </w:rPr>
            </w:pPr>
          </w:p>
        </w:tc>
        <w:tc>
          <w:tcPr>
            <w:tcW w:w="250" w:type="dxa"/>
            <w:vAlign w:val="bottom"/>
          </w:tcPr>
          <w:p>
            <w:pPr>
              <w:spacing w:after="0"/>
              <w:rPr>
                <w:sz w:val="18"/>
                <w:szCs w:val="18"/>
                <w:color w:val="auto"/>
              </w:rPr>
            </w:pPr>
          </w:p>
        </w:tc>
        <w:tc>
          <w:tcPr>
            <w:tcW w:w="19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(843)</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0" w:type="dxa"/>
            <w:vAlign w:val="bottom"/>
            <w:tcBorders>
              <w:right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Other, net</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1,113</w:t>
            </w:r>
          </w:p>
        </w:tc>
        <w:tc>
          <w:tcPr>
            <w:tcW w:w="60" w:type="dxa"/>
            <w:vAlign w:val="bottom"/>
            <w:tcBorders>
              <w:left w:val="single" w:sz="8" w:color="CCEEFF"/>
              <w:right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1,862</w:t>
            </w:r>
          </w:p>
        </w:tc>
        <w:tc>
          <w:tcPr>
            <w:tcW w:w="60" w:type="dxa"/>
            <w:vAlign w:val="bottom"/>
            <w:tcBorders>
              <w:right w:val="single" w:sz="8" w:color="CCEEFF"/>
            </w:tcBorders>
            <w:shd w:val="clear" w:color="auto" w:fill="CCEEFF"/>
          </w:tcPr>
          <w:p>
            <w:pPr>
              <w:spacing w:after="0"/>
              <w:rPr>
                <w:sz w:val="19"/>
                <w:szCs w:val="19"/>
                <w:color w:val="auto"/>
              </w:rPr>
            </w:pPr>
          </w:p>
        </w:tc>
        <w:tc>
          <w:tcPr>
            <w:tcW w:w="250" w:type="dxa"/>
            <w:vAlign w:val="bottom"/>
            <w:tcBorders>
              <w:bottom w:val="single" w:sz="8" w:color="auto"/>
            </w:tcBorders>
            <w:shd w:val="clear" w:color="auto" w:fill="CCEEFF"/>
          </w:tcPr>
          <w:p>
            <w:pPr>
              <w:spacing w:after="0"/>
              <w:rPr>
                <w:sz w:val="19"/>
                <w:szCs w:val="19"/>
                <w:color w:val="auto"/>
              </w:rPr>
            </w:pPr>
          </w:p>
        </w:tc>
        <w:tc>
          <w:tcPr>
            <w:tcW w:w="19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1,268</w:t>
            </w:r>
          </w:p>
        </w:tc>
        <w:tc>
          <w:tcPr>
            <w:tcW w:w="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0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Total other income, net</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2,400</w:t>
            </w: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2,533</w:t>
            </w:r>
          </w:p>
        </w:tc>
        <w:tc>
          <w:tcPr>
            <w:tcW w:w="60" w:type="dxa"/>
            <w:vAlign w:val="bottom"/>
          </w:tcPr>
          <w:p>
            <w:pPr>
              <w:spacing w:after="0"/>
              <w:rPr>
                <w:sz w:val="19"/>
                <w:szCs w:val="19"/>
                <w:color w:val="auto"/>
              </w:rPr>
            </w:pPr>
          </w:p>
        </w:tc>
        <w:tc>
          <w:tcPr>
            <w:tcW w:w="250" w:type="dxa"/>
            <w:vAlign w:val="bottom"/>
            <w:tcBorders>
              <w:bottom w:val="single" w:sz="8" w:color="auto"/>
            </w:tcBorders>
          </w:tcPr>
          <w:p>
            <w:pPr>
              <w:spacing w:after="0"/>
              <w:rPr>
                <w:sz w:val="19"/>
                <w:szCs w:val="19"/>
                <w:color w:val="auto"/>
              </w:rPr>
            </w:pPr>
          </w:p>
        </w:tc>
        <w:tc>
          <w:tcPr>
            <w:tcW w:w="19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4,030</w:t>
            </w:r>
          </w:p>
        </w:tc>
        <w:tc>
          <w:tcPr>
            <w:tcW w:w="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240" w:type="dxa"/>
            <w:vAlign w:val="bottom"/>
            <w:shd w:val="clear" w:color="auto" w:fill="CCEEFF"/>
          </w:tcPr>
          <w:p>
            <w:pPr>
              <w:spacing w:after="0"/>
              <w:rPr>
                <w:sz w:val="19"/>
                <w:szCs w:val="19"/>
                <w:color w:val="auto"/>
              </w:rPr>
            </w:pPr>
          </w:p>
        </w:tc>
        <w:tc>
          <w:tcPr>
            <w:tcW w:w="12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262,268</w:t>
            </w:r>
          </w:p>
        </w:tc>
        <w:tc>
          <w:tcPr>
            <w:tcW w:w="60" w:type="dxa"/>
            <w:vAlign w:val="bottom"/>
            <w:tcBorders>
              <w:left w:val="single" w:sz="8" w:color="CCEEFF"/>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60" w:type="dxa"/>
            <w:vAlign w:val="bottom"/>
            <w:tcBorders>
              <w:right w:val="single" w:sz="8" w:color="CCEEFF"/>
            </w:tcBorders>
            <w:shd w:val="clear" w:color="auto" w:fill="CCEEFF"/>
          </w:tcPr>
          <w:p>
            <w:pPr>
              <w:spacing w:after="0"/>
              <w:rPr>
                <w:sz w:val="19"/>
                <w:szCs w:val="19"/>
                <w:color w:val="auto"/>
              </w:rPr>
            </w:pPr>
          </w:p>
        </w:tc>
        <w:tc>
          <w:tcPr>
            <w:tcW w:w="250" w:type="dxa"/>
            <w:vAlign w:val="bottom"/>
            <w:shd w:val="clear" w:color="auto" w:fill="CCEEFF"/>
          </w:tcPr>
          <w:p>
            <w:pPr>
              <w:spacing w:after="0"/>
              <w:rPr>
                <w:sz w:val="19"/>
                <w:szCs w:val="19"/>
                <w:color w:val="auto"/>
              </w:rPr>
            </w:pPr>
          </w:p>
        </w:tc>
        <w:tc>
          <w:tcPr>
            <w:tcW w:w="190" w:type="dxa"/>
            <w:vAlign w:val="bottom"/>
            <w:shd w:val="clear" w:color="auto" w:fill="CCEEFF"/>
          </w:tcPr>
          <w:p>
            <w:pPr>
              <w:spacing w:after="0"/>
              <w:rPr>
                <w:sz w:val="19"/>
                <w:szCs w:val="19"/>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427,748</w:t>
            </w: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24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63,974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(677)</w:t>
            </w:r>
          </w:p>
        </w:tc>
        <w:tc>
          <w:tcPr>
            <w:tcW w:w="250" w:type="dxa"/>
            <w:vAlign w:val="bottom"/>
          </w:tcPr>
          <w:p>
            <w:pPr>
              <w:spacing w:after="0"/>
              <w:rPr>
                <w:sz w:val="18"/>
                <w:szCs w:val="18"/>
                <w:color w:val="auto"/>
              </w:rPr>
            </w:pPr>
          </w:p>
        </w:tc>
        <w:tc>
          <w:tcPr>
            <w:tcW w:w="19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104,320</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(16,515)</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0" w:type="dxa"/>
            <w:vAlign w:val="bottom"/>
            <w:tcBorders>
              <w:top w:val="single" w:sz="8" w:color="auto"/>
            </w:tcBorders>
          </w:tcPr>
          <w:p>
            <w:pPr>
              <w:spacing w:after="0" w:line="20" w:lineRule="exact"/>
              <w:rPr>
                <w:sz w:val="1"/>
                <w:szCs w:val="1"/>
                <w:color w:val="auto"/>
              </w:rPr>
            </w:pPr>
          </w:p>
        </w:tc>
        <w:tc>
          <w:tcPr>
            <w:tcW w:w="190" w:type="dxa"/>
            <w:vAlign w:val="bottom"/>
            <w:tcBorders>
              <w:top w:val="single" w:sz="8" w:color="auto"/>
            </w:tcBorders>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200" w:type="dxa"/>
            <w:vAlign w:val="bottom"/>
            <w:tcBorders>
              <w:right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Net income (loss)</w:t>
            </w:r>
          </w:p>
        </w:tc>
        <w:tc>
          <w:tcPr>
            <w:tcW w:w="240" w:type="dxa"/>
            <w:vAlign w:val="bottom"/>
            <w:shd w:val="clear" w:color="auto" w:fill="CCEEFF"/>
          </w:tcPr>
          <w:p>
            <w:pPr>
              <w:spacing w:after="0"/>
              <w:rPr>
                <w:sz w:val="17"/>
                <w:szCs w:val="17"/>
                <w:color w:val="auto"/>
              </w:rPr>
            </w:pPr>
          </w:p>
        </w:tc>
        <w:tc>
          <w:tcPr>
            <w:tcW w:w="1220" w:type="dxa"/>
            <w:vAlign w:val="bottom"/>
            <w:tcBorders>
              <w:right w:val="single" w:sz="8" w:color="CCEEFF"/>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198,294</w:t>
            </w:r>
          </w:p>
        </w:tc>
        <w:tc>
          <w:tcPr>
            <w:tcW w:w="60" w:type="dxa"/>
            <w:vAlign w:val="bottom"/>
            <w:tcBorders>
              <w:left w:val="single" w:sz="8" w:color="CCEEFF"/>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40" w:type="dxa"/>
            <w:vAlign w:val="bottom"/>
            <w:tcBorders>
              <w:right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1,145</w:t>
            </w:r>
          </w:p>
        </w:tc>
        <w:tc>
          <w:tcPr>
            <w:tcW w:w="60" w:type="dxa"/>
            <w:vAlign w:val="bottom"/>
            <w:tcBorders>
              <w:right w:val="single" w:sz="8" w:color="CCEEFF"/>
            </w:tcBorders>
            <w:shd w:val="clear" w:color="auto" w:fill="CCEEFF"/>
          </w:tcPr>
          <w:p>
            <w:pPr>
              <w:spacing w:after="0"/>
              <w:rPr>
                <w:sz w:val="17"/>
                <w:szCs w:val="17"/>
                <w:color w:val="auto"/>
              </w:rPr>
            </w:pPr>
          </w:p>
        </w:tc>
        <w:tc>
          <w:tcPr>
            <w:tcW w:w="250" w:type="dxa"/>
            <w:vAlign w:val="bottom"/>
            <w:shd w:val="clear" w:color="auto" w:fill="CCEEFF"/>
          </w:tcPr>
          <w:p>
            <w:pPr>
              <w:spacing w:after="0"/>
              <w:rPr>
                <w:sz w:val="17"/>
                <w:szCs w:val="17"/>
                <w:color w:val="auto"/>
              </w:rPr>
            </w:pPr>
          </w:p>
        </w:tc>
        <w:tc>
          <w:tcPr>
            <w:tcW w:w="190" w:type="dxa"/>
            <w:vAlign w:val="bottom"/>
            <w:shd w:val="clear" w:color="auto" w:fill="CCEEFF"/>
          </w:tcPr>
          <w:p>
            <w:pPr>
              <w:spacing w:after="0"/>
              <w:rPr>
                <w:sz w:val="17"/>
                <w:szCs w:val="17"/>
                <w:color w:val="auto"/>
              </w:rPr>
            </w:pPr>
          </w:p>
        </w:tc>
        <w:tc>
          <w:tcPr>
            <w:tcW w:w="1040" w:type="dxa"/>
            <w:vAlign w:val="bottom"/>
            <w:tcBorders>
              <w:right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323,428</w:t>
            </w: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(16,881)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200" w:type="dxa"/>
            <w:vAlign w:val="bottom"/>
          </w:tcPr>
          <w:p>
            <w:pPr>
              <w:spacing w:after="0"/>
              <w:rPr>
                <w:sz w:val="20"/>
                <w:szCs w:val="20"/>
                <w:color w:val="auto"/>
              </w:rPr>
            </w:pPr>
            <w:r>
              <w:rPr>
                <w:rFonts w:ascii="Arial" w:cs="Arial" w:eastAsia="Arial" w:hAnsi="Arial"/>
                <w:sz w:val="18"/>
                <w:szCs w:val="18"/>
                <w:color w:val="auto"/>
                <w:w w:val="99"/>
              </w:rPr>
              <w:t>Less: Loss attributable to noncontrolling</w:t>
            </w: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50" w:type="dxa"/>
            <w:vAlign w:val="bottom"/>
          </w:tcPr>
          <w:p>
            <w:pPr>
              <w:spacing w:after="0"/>
              <w:rPr>
                <w:sz w:val="21"/>
                <w:szCs w:val="21"/>
                <w:color w:val="auto"/>
              </w:rPr>
            </w:pPr>
          </w:p>
        </w:tc>
        <w:tc>
          <w:tcPr>
            <w:tcW w:w="19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interest</w:t>
            </w:r>
          </w:p>
        </w:tc>
        <w:tc>
          <w:tcPr>
            <w:tcW w:w="24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(293)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c>
          <w:tcPr>
            <w:tcW w:w="250" w:type="dxa"/>
            <w:vAlign w:val="bottom"/>
          </w:tcPr>
          <w:p>
            <w:pPr>
              <w:spacing w:after="0"/>
              <w:rPr>
                <w:sz w:val="18"/>
                <w:szCs w:val="18"/>
                <w:color w:val="auto"/>
              </w:rPr>
            </w:pPr>
          </w:p>
        </w:tc>
        <w:tc>
          <w:tcPr>
            <w:tcW w:w="19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(446)</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64"/>
        </w:trPr>
        <w:tc>
          <w:tcPr>
            <w:tcW w:w="320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2"/>
              </w:rPr>
              <w:t>Net income (loss) attributable to Cal-Maine</w:t>
            </w:r>
          </w:p>
        </w:tc>
        <w:tc>
          <w:tcPr>
            <w:tcW w:w="24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spacing w:after="0"/>
              <w:rPr>
                <w:sz w:val="22"/>
                <w:szCs w:val="22"/>
                <w:color w:val="auto"/>
              </w:rPr>
            </w:pPr>
          </w:p>
        </w:tc>
        <w:tc>
          <w:tcPr>
            <w:tcW w:w="240" w:type="dxa"/>
            <w:vAlign w:val="bottom"/>
            <w:tcBorders>
              <w:top w:val="single" w:sz="8" w:color="auto"/>
              <w:right w:val="single" w:sz="8" w:color="CCEEFF"/>
            </w:tcBorders>
            <w:shd w:val="clear" w:color="auto" w:fill="CCEEFF"/>
          </w:tcPr>
          <w:p>
            <w:pPr>
              <w:spacing w:after="0"/>
              <w:rPr>
                <w:sz w:val="22"/>
                <w:szCs w:val="22"/>
                <w:color w:val="auto"/>
              </w:rPr>
            </w:pPr>
          </w:p>
        </w:tc>
        <w:tc>
          <w:tcPr>
            <w:tcW w:w="60" w:type="dxa"/>
            <w:vAlign w:val="bottom"/>
            <w:tcBorders>
              <w:left w:val="single" w:sz="8" w:color="CCEEFF"/>
              <w:right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720" w:type="dxa"/>
            <w:vAlign w:val="bottom"/>
            <w:tcBorders>
              <w:top w:val="single" w:sz="8" w:color="auto"/>
            </w:tcBorders>
            <w:shd w:val="clear" w:color="auto" w:fill="CCEEFF"/>
          </w:tcPr>
          <w:p>
            <w:pPr>
              <w:spacing w:after="0"/>
              <w:rPr>
                <w:sz w:val="22"/>
                <w:szCs w:val="22"/>
                <w:color w:val="auto"/>
              </w:rPr>
            </w:pPr>
          </w:p>
        </w:tc>
        <w:tc>
          <w:tcPr>
            <w:tcW w:w="640" w:type="dxa"/>
            <w:vAlign w:val="bottom"/>
            <w:tcBorders>
              <w:top w:val="single" w:sz="8" w:color="auto"/>
              <w:right w:val="single" w:sz="8" w:color="CCEEFF"/>
            </w:tcBorders>
            <w:shd w:val="clear" w:color="auto" w:fill="CCEEFF"/>
          </w:tcPr>
          <w:p>
            <w:pPr>
              <w:spacing w:after="0"/>
              <w:rPr>
                <w:sz w:val="22"/>
                <w:szCs w:val="22"/>
                <w:color w:val="auto"/>
              </w:rPr>
            </w:pPr>
          </w:p>
        </w:tc>
        <w:tc>
          <w:tcPr>
            <w:tcW w:w="60" w:type="dxa"/>
            <w:vAlign w:val="bottom"/>
            <w:tcBorders>
              <w:right w:val="single" w:sz="8" w:color="CCEEFF"/>
            </w:tcBorders>
            <w:shd w:val="clear" w:color="auto" w:fill="CCEEFF"/>
          </w:tcPr>
          <w:p>
            <w:pPr>
              <w:spacing w:after="0"/>
              <w:rPr>
                <w:sz w:val="22"/>
                <w:szCs w:val="22"/>
                <w:color w:val="auto"/>
              </w:rPr>
            </w:pPr>
          </w:p>
        </w:tc>
        <w:tc>
          <w:tcPr>
            <w:tcW w:w="250" w:type="dxa"/>
            <w:vAlign w:val="bottom"/>
            <w:tcBorders>
              <w:top w:val="single" w:sz="8" w:color="auto"/>
            </w:tcBorders>
            <w:shd w:val="clear" w:color="auto" w:fill="CCEEFF"/>
          </w:tcPr>
          <w:p>
            <w:pPr>
              <w:spacing w:after="0"/>
              <w:rPr>
                <w:sz w:val="22"/>
                <w:szCs w:val="22"/>
                <w:color w:val="auto"/>
              </w:rPr>
            </w:pPr>
          </w:p>
        </w:tc>
        <w:tc>
          <w:tcPr>
            <w:tcW w:w="190" w:type="dxa"/>
            <w:vAlign w:val="bottom"/>
            <w:tcBorders>
              <w:top w:val="single" w:sz="8" w:color="auto"/>
            </w:tcBorders>
            <w:shd w:val="clear" w:color="auto" w:fill="CCEEFF"/>
          </w:tcPr>
          <w:p>
            <w:pPr>
              <w:spacing w:after="0"/>
              <w:rPr>
                <w:sz w:val="22"/>
                <w:szCs w:val="22"/>
                <w:color w:val="auto"/>
              </w:rPr>
            </w:pPr>
          </w:p>
        </w:tc>
        <w:tc>
          <w:tcPr>
            <w:tcW w:w="1040" w:type="dxa"/>
            <w:vAlign w:val="bottom"/>
            <w:tcBorders>
              <w:top w:val="single" w:sz="8" w:color="auto"/>
              <w:right w:val="single" w:sz="8" w:color="CCEEFF"/>
            </w:tcBorders>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1240" w:type="dxa"/>
            <w:vAlign w:val="bottom"/>
            <w:tcBorders>
              <w:top w:val="single" w:sz="8" w:color="auto"/>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3200" w:type="dxa"/>
            <w:vAlign w:val="bottom"/>
            <w:tcBorders>
              <w:right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Foods, Inc.</w:t>
            </w:r>
          </w:p>
        </w:tc>
        <w:tc>
          <w:tcPr>
            <w:tcW w:w="240" w:type="dxa"/>
            <w:vAlign w:val="bottom"/>
            <w:shd w:val="clear" w:color="auto" w:fill="CCEEFF"/>
          </w:tcPr>
          <w:p>
            <w:pPr>
              <w:jc w:val="right"/>
              <w:ind w:right="82"/>
              <w:spacing w:after="0"/>
              <w:rPr>
                <w:sz w:val="20"/>
                <w:szCs w:val="20"/>
                <w:color w:val="auto"/>
              </w:rPr>
            </w:pPr>
            <w:r>
              <w:rPr>
                <w:rFonts w:ascii="Arial" w:cs="Arial" w:eastAsia="Arial" w:hAnsi="Arial"/>
                <w:sz w:val="15"/>
                <w:szCs w:val="15"/>
                <w:color w:val="auto"/>
                <w:w w:val="71"/>
              </w:rPr>
              <w:t>$</w:t>
            </w:r>
          </w:p>
        </w:tc>
        <w:tc>
          <w:tcPr>
            <w:tcW w:w="1220" w:type="dxa"/>
            <w:vAlign w:val="bottom"/>
            <w:tcBorders>
              <w:right w:val="single" w:sz="8" w:color="CCEEFF"/>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198,587</w:t>
            </w:r>
          </w:p>
        </w:tc>
        <w:tc>
          <w:tcPr>
            <w:tcW w:w="160" w:type="dxa"/>
            <w:vAlign w:val="bottom"/>
            <w:tcBorders>
              <w:left w:val="single" w:sz="8" w:color="CCEEFF"/>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7"/>
                <w:szCs w:val="17"/>
                <w:color w:val="auto"/>
              </w:rPr>
            </w:pPr>
          </w:p>
        </w:tc>
        <w:tc>
          <w:tcPr>
            <w:tcW w:w="64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1,173</w:t>
            </w:r>
          </w:p>
        </w:tc>
        <w:tc>
          <w:tcPr>
            <w:tcW w:w="60" w:type="dxa"/>
            <w:vAlign w:val="bottom"/>
            <w:tcBorders>
              <w:right w:val="single" w:sz="8" w:color="CCEEFF"/>
            </w:tcBorders>
            <w:shd w:val="clear" w:color="auto" w:fill="CCEEFF"/>
          </w:tcPr>
          <w:p>
            <w:pPr>
              <w:spacing w:after="0"/>
              <w:rPr>
                <w:sz w:val="17"/>
                <w:szCs w:val="17"/>
                <w:color w:val="auto"/>
              </w:rPr>
            </w:pPr>
          </w:p>
        </w:tc>
        <w:tc>
          <w:tcPr>
            <w:tcW w:w="250" w:type="dxa"/>
            <w:vAlign w:val="bottom"/>
            <w:shd w:val="clear" w:color="auto" w:fill="CCEEFF"/>
          </w:tcPr>
          <w:p>
            <w:pPr>
              <w:jc w:val="right"/>
              <w:ind w:right="94"/>
              <w:spacing w:after="0"/>
              <w:rPr>
                <w:sz w:val="20"/>
                <w:szCs w:val="20"/>
                <w:color w:val="auto"/>
              </w:rPr>
            </w:pPr>
            <w:r>
              <w:rPr>
                <w:rFonts w:ascii="Arial" w:cs="Arial" w:eastAsia="Arial" w:hAnsi="Arial"/>
                <w:sz w:val="15"/>
                <w:szCs w:val="15"/>
                <w:color w:val="auto"/>
                <w:w w:val="71"/>
              </w:rPr>
              <w:t>$</w:t>
            </w:r>
          </w:p>
        </w:tc>
        <w:tc>
          <w:tcPr>
            <w:tcW w:w="190" w:type="dxa"/>
            <w:vAlign w:val="bottom"/>
            <w:shd w:val="clear" w:color="auto" w:fill="CCEEFF"/>
          </w:tcPr>
          <w:p>
            <w:pPr>
              <w:spacing w:after="0"/>
              <w:rPr>
                <w:sz w:val="17"/>
                <w:szCs w:val="17"/>
                <w:color w:val="auto"/>
              </w:rPr>
            </w:pPr>
          </w:p>
        </w:tc>
        <w:tc>
          <w:tcPr>
            <w:tcW w:w="104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323,874</w:t>
            </w:r>
          </w:p>
        </w:tc>
        <w:tc>
          <w:tcPr>
            <w:tcW w:w="280" w:type="dxa"/>
            <w:vAlign w:val="bottom"/>
            <w:gridSpan w:val="2"/>
            <w:shd w:val="clear" w:color="auto" w:fill="CCEEFF"/>
          </w:tcPr>
          <w:p>
            <w:pPr>
              <w:jc w:val="right"/>
              <w:ind w:right="87"/>
              <w:spacing w:after="0" w:line="202" w:lineRule="exact"/>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(16,853)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0" w:type="dxa"/>
            <w:vAlign w:val="bottom"/>
            <w:tcBorders>
              <w:top w:val="single" w:sz="8" w:color="auto"/>
              <w:bottom w:val="single" w:sz="8" w:color="auto"/>
            </w:tcBorders>
          </w:tcPr>
          <w:p>
            <w:pPr>
              <w:spacing w:after="0" w:line="20" w:lineRule="exact"/>
              <w:rPr>
                <w:sz w:val="1"/>
                <w:szCs w:val="1"/>
                <w:color w:val="auto"/>
              </w:rPr>
            </w:pPr>
          </w:p>
        </w:tc>
        <w:tc>
          <w:tcPr>
            <w:tcW w:w="19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50" w:type="dxa"/>
            <w:vAlign w:val="bottom"/>
          </w:tcPr>
          <w:p>
            <w:pPr>
              <w:spacing w:after="0"/>
              <w:rPr>
                <w:sz w:val="15"/>
                <w:szCs w:val="15"/>
                <w:color w:val="auto"/>
              </w:rPr>
            </w:pPr>
          </w:p>
        </w:tc>
        <w:tc>
          <w:tcPr>
            <w:tcW w:w="19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 per common share:</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60" w:type="dxa"/>
            <w:vAlign w:val="bottom"/>
            <w:tcBorders>
              <w:left w:val="single" w:sz="8" w:color="CCEEFF"/>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40" w:type="dxa"/>
            <w:vAlign w:val="bottom"/>
            <w:tcBorders>
              <w:right w:val="single" w:sz="8" w:color="CCEEFF"/>
            </w:tcBorders>
            <w:shd w:val="clear" w:color="auto" w:fill="CCEEFF"/>
          </w:tcPr>
          <w:p>
            <w:pPr>
              <w:spacing w:after="0"/>
              <w:rPr>
                <w:sz w:val="19"/>
                <w:szCs w:val="19"/>
                <w:color w:val="auto"/>
              </w:rPr>
            </w:pPr>
          </w:p>
        </w:tc>
        <w:tc>
          <w:tcPr>
            <w:tcW w:w="60" w:type="dxa"/>
            <w:vAlign w:val="bottom"/>
            <w:tcBorders>
              <w:right w:val="single" w:sz="8" w:color="CCEEFF"/>
            </w:tcBorders>
            <w:shd w:val="clear" w:color="auto" w:fill="CCEEFF"/>
          </w:tcPr>
          <w:p>
            <w:pPr>
              <w:spacing w:after="0"/>
              <w:rPr>
                <w:sz w:val="19"/>
                <w:szCs w:val="19"/>
                <w:color w:val="auto"/>
              </w:rPr>
            </w:pPr>
          </w:p>
        </w:tc>
        <w:tc>
          <w:tcPr>
            <w:tcW w:w="250" w:type="dxa"/>
            <w:vAlign w:val="bottom"/>
            <w:shd w:val="clear" w:color="auto" w:fill="CCEEFF"/>
          </w:tcPr>
          <w:p>
            <w:pPr>
              <w:spacing w:after="0"/>
              <w:rPr>
                <w:sz w:val="19"/>
                <w:szCs w:val="19"/>
                <w:color w:val="auto"/>
              </w:rPr>
            </w:pPr>
          </w:p>
        </w:tc>
        <w:tc>
          <w:tcPr>
            <w:tcW w:w="190" w:type="dxa"/>
            <w:vAlign w:val="bottom"/>
            <w:shd w:val="clear" w:color="auto" w:fill="CCEEFF"/>
          </w:tcPr>
          <w:p>
            <w:pPr>
              <w:spacing w:after="0"/>
              <w:rPr>
                <w:sz w:val="19"/>
                <w:szCs w:val="19"/>
                <w:color w:val="auto"/>
              </w:rPr>
            </w:pPr>
          </w:p>
        </w:tc>
        <w:tc>
          <w:tcPr>
            <w:tcW w:w="1040" w:type="dxa"/>
            <w:vAlign w:val="bottom"/>
            <w:tcBorders>
              <w:right w:val="single" w:sz="8" w:color="CCEEFF"/>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3"/>
        </w:trPr>
        <w:tc>
          <w:tcPr>
            <w:tcW w:w="3200" w:type="dxa"/>
            <w:vAlign w:val="bottom"/>
          </w:tcPr>
          <w:p>
            <w:pPr>
              <w:spacing w:after="0"/>
              <w:rPr>
                <w:sz w:val="20"/>
                <w:szCs w:val="20"/>
                <w:color w:val="auto"/>
              </w:rPr>
            </w:pPr>
            <w:r>
              <w:rPr>
                <w:rFonts w:ascii="Arial" w:cs="Arial" w:eastAsia="Arial" w:hAnsi="Arial"/>
                <w:sz w:val="18"/>
                <w:szCs w:val="18"/>
                <w:color w:val="auto"/>
              </w:rPr>
              <w:t>Basic</w:t>
            </w:r>
          </w:p>
        </w:tc>
        <w:tc>
          <w:tcPr>
            <w:tcW w:w="240" w:type="dxa"/>
            <w:vAlign w:val="bottom"/>
          </w:tcPr>
          <w:p>
            <w:pPr>
              <w:jc w:val="right"/>
              <w:ind w:right="82"/>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4.08</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0.02</w:t>
            </w:r>
          </w:p>
        </w:tc>
        <w:tc>
          <w:tcPr>
            <w:tcW w:w="60" w:type="dxa"/>
            <w:vAlign w:val="bottom"/>
          </w:tcPr>
          <w:p>
            <w:pPr>
              <w:spacing w:after="0"/>
              <w:rPr>
                <w:sz w:val="24"/>
                <w:szCs w:val="24"/>
                <w:color w:val="auto"/>
              </w:rPr>
            </w:pPr>
          </w:p>
        </w:tc>
        <w:tc>
          <w:tcPr>
            <w:tcW w:w="250" w:type="dxa"/>
            <w:vAlign w:val="bottom"/>
          </w:tcPr>
          <w:p>
            <w:pPr>
              <w:jc w:val="right"/>
              <w:ind w:right="94"/>
              <w:spacing w:after="0"/>
              <w:rPr>
                <w:sz w:val="20"/>
                <w:szCs w:val="20"/>
                <w:color w:val="auto"/>
              </w:rPr>
            </w:pPr>
            <w:r>
              <w:rPr>
                <w:rFonts w:ascii="Arial" w:cs="Arial" w:eastAsia="Arial" w:hAnsi="Arial"/>
                <w:sz w:val="15"/>
                <w:szCs w:val="15"/>
                <w:color w:val="auto"/>
                <w:w w:val="71"/>
              </w:rPr>
              <w:t>$</w:t>
            </w:r>
          </w:p>
        </w:tc>
        <w:tc>
          <w:tcPr>
            <w:tcW w:w="19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6.66</w:t>
            </w:r>
          </w:p>
        </w:tc>
        <w:tc>
          <w:tcPr>
            <w:tcW w:w="280" w:type="dxa"/>
            <w:vAlign w:val="bottom"/>
            <w:gridSpan w:val="2"/>
          </w:tcPr>
          <w:p>
            <w:pPr>
              <w:jc w:val="right"/>
              <w:ind w:right="87"/>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17"/>
        </w:trPr>
        <w:tc>
          <w:tcPr>
            <w:tcW w:w="320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w:t>
            </w:r>
          </w:p>
        </w:tc>
        <w:tc>
          <w:tcPr>
            <w:tcW w:w="240" w:type="dxa"/>
            <w:vAlign w:val="bottom"/>
            <w:tcBorders>
              <w:top w:val="single" w:sz="8" w:color="auto"/>
              <w:bottom w:val="single" w:sz="8" w:color="auto"/>
            </w:tcBorders>
            <w:shd w:val="clear" w:color="auto" w:fill="CCEEFF"/>
          </w:tcPr>
          <w:p>
            <w:pPr>
              <w:jc w:val="right"/>
              <w:ind w:right="82"/>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6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60" w:type="dxa"/>
            <w:vAlign w:val="bottom"/>
            <w:tcBorders>
              <w:right w:val="single" w:sz="8" w:color="CCEEFF"/>
            </w:tcBorders>
            <w:shd w:val="clear" w:color="auto" w:fill="CCEEFF"/>
          </w:tcPr>
          <w:p>
            <w:pPr>
              <w:spacing w:after="0"/>
              <w:rPr>
                <w:sz w:val="18"/>
                <w:szCs w:val="18"/>
                <w:color w:val="auto"/>
              </w:rPr>
            </w:pPr>
          </w:p>
        </w:tc>
        <w:tc>
          <w:tcPr>
            <w:tcW w:w="25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Arial" w:cs="Arial" w:eastAsia="Arial" w:hAnsi="Arial"/>
                <w:sz w:val="15"/>
                <w:szCs w:val="15"/>
                <w:color w:val="auto"/>
                <w:w w:val="71"/>
              </w:rPr>
              <w:t>$</w:t>
            </w:r>
          </w:p>
        </w:tc>
        <w:tc>
          <w:tcPr>
            <w:tcW w:w="19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40" w:type="dxa"/>
            <w:vAlign w:val="bottom"/>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0" w:type="dxa"/>
            <w:vAlign w:val="bottom"/>
            <w:vMerge w:val="restart"/>
          </w:tcPr>
          <w:p>
            <w:pPr>
              <w:spacing w:after="0"/>
              <w:rPr>
                <w:sz w:val="20"/>
                <w:szCs w:val="20"/>
                <w:color w:val="auto"/>
              </w:rPr>
            </w:pPr>
            <w:r>
              <w:rPr>
                <w:rFonts w:ascii="Arial" w:cs="Arial" w:eastAsia="Arial" w:hAnsi="Arial"/>
                <w:sz w:val="18"/>
                <w:szCs w:val="18"/>
                <w:color w:val="auto"/>
              </w:rPr>
              <w:t>Weighted average shares outstanding:</w:t>
            </w: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0" w:type="dxa"/>
            <w:vAlign w:val="bottom"/>
            <w:tcBorders>
              <w:bottom w:val="single" w:sz="8" w:color="auto"/>
            </w:tcBorders>
          </w:tcPr>
          <w:p>
            <w:pPr>
              <w:spacing w:after="0" w:line="20" w:lineRule="exact"/>
              <w:rPr>
                <w:sz w:val="1"/>
                <w:szCs w:val="1"/>
                <w:color w:val="auto"/>
              </w:rPr>
            </w:pPr>
          </w:p>
        </w:tc>
        <w:tc>
          <w:tcPr>
            <w:tcW w:w="19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50" w:type="dxa"/>
            <w:vAlign w:val="bottom"/>
          </w:tcPr>
          <w:p>
            <w:pPr>
              <w:spacing w:after="0"/>
              <w:rPr>
                <w:sz w:val="19"/>
                <w:szCs w:val="19"/>
                <w:color w:val="auto"/>
              </w:rPr>
            </w:pPr>
          </w:p>
        </w:tc>
        <w:tc>
          <w:tcPr>
            <w:tcW w:w="19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48,624</w:t>
            </w:r>
          </w:p>
        </w:tc>
        <w:tc>
          <w:tcPr>
            <w:tcW w:w="60" w:type="dxa"/>
            <w:vAlign w:val="bottom"/>
            <w:tcBorders>
              <w:left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48,857</w:t>
            </w:r>
          </w:p>
        </w:tc>
        <w:tc>
          <w:tcPr>
            <w:tcW w:w="60" w:type="dxa"/>
            <w:vAlign w:val="bottom"/>
            <w:tcBorders>
              <w:right w:val="single" w:sz="8" w:color="CCEEFF"/>
            </w:tcBorders>
            <w:shd w:val="clear" w:color="auto" w:fill="CCEEFF"/>
          </w:tcPr>
          <w:p>
            <w:pPr>
              <w:spacing w:after="0"/>
              <w:rPr>
                <w:sz w:val="21"/>
                <w:szCs w:val="21"/>
                <w:color w:val="auto"/>
              </w:rPr>
            </w:pPr>
          </w:p>
        </w:tc>
        <w:tc>
          <w:tcPr>
            <w:tcW w:w="250" w:type="dxa"/>
            <w:vAlign w:val="bottom"/>
            <w:tcBorders>
              <w:bottom w:val="single" w:sz="8" w:color="auto"/>
            </w:tcBorders>
            <w:shd w:val="clear" w:color="auto" w:fill="CCEEFF"/>
          </w:tcPr>
          <w:p>
            <w:pPr>
              <w:spacing w:after="0"/>
              <w:rPr>
                <w:sz w:val="21"/>
                <w:szCs w:val="21"/>
                <w:color w:val="auto"/>
              </w:rPr>
            </w:pPr>
          </w:p>
        </w:tc>
        <w:tc>
          <w:tcPr>
            <w:tcW w:w="19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48,624</w:t>
            </w:r>
          </w:p>
        </w:tc>
        <w:tc>
          <w:tcPr>
            <w:tcW w:w="4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48,859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0" w:type="dxa"/>
            <w:vAlign w:val="bottom"/>
            <w:tcBorders>
              <w:bottom w:val="single" w:sz="8" w:color="auto"/>
            </w:tcBorders>
          </w:tcPr>
          <w:p>
            <w:pPr>
              <w:spacing w:after="0" w:line="20" w:lineRule="exact"/>
              <w:rPr>
                <w:sz w:val="1"/>
                <w:szCs w:val="1"/>
                <w:color w:val="auto"/>
              </w:rPr>
            </w:pPr>
          </w:p>
        </w:tc>
        <w:tc>
          <w:tcPr>
            <w:tcW w:w="19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200" w:type="dxa"/>
            <w:vAlign w:val="bottom"/>
          </w:tcPr>
          <w:p>
            <w:pPr>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48,840</w:t>
            </w: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49,016</w:t>
            </w:r>
          </w:p>
        </w:tc>
        <w:tc>
          <w:tcPr>
            <w:tcW w:w="60" w:type="dxa"/>
            <w:vAlign w:val="bottom"/>
          </w:tcPr>
          <w:p>
            <w:pPr>
              <w:spacing w:after="0"/>
              <w:rPr>
                <w:sz w:val="20"/>
                <w:szCs w:val="20"/>
                <w:color w:val="auto"/>
              </w:rPr>
            </w:pPr>
          </w:p>
        </w:tc>
        <w:tc>
          <w:tcPr>
            <w:tcW w:w="250" w:type="dxa"/>
            <w:vAlign w:val="bottom"/>
            <w:tcBorders>
              <w:bottom w:val="single" w:sz="8" w:color="auto"/>
            </w:tcBorders>
          </w:tcPr>
          <w:p>
            <w:pPr>
              <w:spacing w:after="0"/>
              <w:rPr>
                <w:sz w:val="20"/>
                <w:szCs w:val="20"/>
                <w:color w:val="auto"/>
              </w:rPr>
            </w:pPr>
          </w:p>
        </w:tc>
        <w:tc>
          <w:tcPr>
            <w:tcW w:w="19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48,827</w:t>
            </w:r>
          </w:p>
        </w:tc>
        <w:tc>
          <w:tcPr>
            <w:tcW w:w="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48,859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0" w:type="dxa"/>
            <w:vAlign w:val="bottom"/>
            <w:tcBorders>
              <w:bottom w:val="single" w:sz="8" w:color="auto"/>
            </w:tcBorders>
          </w:tcPr>
          <w:p>
            <w:pPr>
              <w:spacing w:after="0" w:line="20" w:lineRule="exact"/>
              <w:rPr>
                <w:sz w:val="1"/>
                <w:szCs w:val="1"/>
                <w:color w:val="auto"/>
              </w:rPr>
            </w:pPr>
          </w:p>
        </w:tc>
        <w:tc>
          <w:tcPr>
            <w:tcW w:w="19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See Notes to Condensed Consolidated Financial Statements.</w:t>
      </w:r>
    </w:p>
    <w:p>
      <w:pPr>
        <w:sectPr>
          <w:pgSz w:w="11900" w:h="16838" w:orient="portrait"/>
          <w:cols w:equalWidth="0" w:num="1">
            <w:col w:w="9240"/>
          </w:cols>
          <w:pgMar w:left="1320" w:top="297"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9240"/>
          </w:cols>
          <w:pgMar w:left="1320" w:top="297" w:right="13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3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tcBorders>
              <w:bottom w:val="single" w:sz="8" w:color="0000FF"/>
            </w:tcBorders>
            <w:gridSpan w:val="3"/>
          </w:tcPr>
          <w:p>
            <w:pPr>
              <w:jc w:val="center"/>
              <w:spacing w:after="0"/>
              <w:rPr>
                <w:sz w:val="20"/>
                <w:szCs w:val="20"/>
                <w:color w:val="auto"/>
              </w:rPr>
            </w:pPr>
            <w:r>
              <w:rPr>
                <w:rFonts w:ascii="Arial" w:cs="Arial" w:eastAsia="Arial" w:hAnsi="Arial"/>
                <w:sz w:val="18"/>
                <w:szCs w:val="18"/>
                <w:color w:val="0000FF"/>
                <w:w w:val="90"/>
              </w:rPr>
              <w:t>Index</w:t>
            </w:r>
          </w:p>
        </w:tc>
        <w:tc>
          <w:tcPr>
            <w:tcW w:w="8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691"/>
        </w:trPr>
        <w:tc>
          <w:tcPr>
            <w:tcW w:w="3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20" w:type="dxa"/>
            <w:vAlign w:val="bottom"/>
            <w:gridSpan w:val="9"/>
          </w:tcPr>
          <w:p>
            <w:pPr>
              <w:jc w:val="right"/>
              <w:ind w:right="110"/>
              <w:spacing w:after="0"/>
              <w:rPr>
                <w:sz w:val="20"/>
                <w:szCs w:val="20"/>
                <w:color w:val="auto"/>
              </w:rPr>
            </w:pPr>
            <w:r>
              <w:rPr>
                <w:rFonts w:ascii="Arial" w:cs="Arial" w:eastAsia="Arial" w:hAnsi="Arial"/>
                <w:sz w:val="18"/>
                <w:szCs w:val="18"/>
                <w:b w:val="1"/>
                <w:bCs w:val="1"/>
                <w:color w:val="auto"/>
                <w:w w:val="89"/>
              </w:rPr>
              <w:t>Cal-Maine Foods, Inc. and Subsidiaries</w:t>
            </w: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20"/>
        </w:trPr>
        <w:tc>
          <w:tcPr>
            <w:tcW w:w="7760" w:type="dxa"/>
            <w:vAlign w:val="bottom"/>
            <w:gridSpan w:val="12"/>
          </w:tcPr>
          <w:p>
            <w:pPr>
              <w:jc w:val="center"/>
              <w:ind w:left="1390"/>
              <w:spacing w:after="0"/>
              <w:rPr>
                <w:sz w:val="20"/>
                <w:szCs w:val="20"/>
                <w:color w:val="auto"/>
              </w:rPr>
            </w:pPr>
            <w:r>
              <w:rPr>
                <w:rFonts w:ascii="Arial" w:cs="Arial" w:eastAsia="Arial" w:hAnsi="Arial"/>
                <w:sz w:val="18"/>
                <w:szCs w:val="18"/>
                <w:b w:val="1"/>
                <w:bCs w:val="1"/>
                <w:color w:val="auto"/>
                <w:w w:val="88"/>
              </w:rPr>
              <w:t>Condensed Consolidated Statements of Comprehensive Income (Loss)</w:t>
            </w: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16"/>
        </w:trPr>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gridSpan w:val="5"/>
          </w:tcPr>
          <w:p>
            <w:pPr>
              <w:jc w:val="center"/>
              <w:spacing w:after="0"/>
              <w:rPr>
                <w:sz w:val="20"/>
                <w:szCs w:val="20"/>
                <w:color w:val="auto"/>
              </w:rPr>
            </w:pPr>
            <w:r>
              <w:rPr>
                <w:rFonts w:ascii="Arial" w:cs="Arial" w:eastAsia="Arial" w:hAnsi="Arial"/>
                <w:sz w:val="18"/>
                <w:szCs w:val="18"/>
                <w:i w:val="1"/>
                <w:iCs w:val="1"/>
                <w:color w:val="auto"/>
                <w:w w:val="90"/>
              </w:rPr>
              <w:t>(In thousands)</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0"/>
        </w:trPr>
        <w:tc>
          <w:tcPr>
            <w:tcW w:w="3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80" w:type="dxa"/>
            <w:vAlign w:val="bottom"/>
            <w:gridSpan w:val="5"/>
          </w:tcPr>
          <w:p>
            <w:pPr>
              <w:jc w:val="center"/>
              <w:ind w:left="10"/>
              <w:spacing w:after="0"/>
              <w:rPr>
                <w:sz w:val="20"/>
                <w:szCs w:val="20"/>
                <w:color w:val="auto"/>
              </w:rPr>
            </w:pPr>
            <w:r>
              <w:rPr>
                <w:rFonts w:ascii="Arial" w:cs="Arial" w:eastAsia="Arial" w:hAnsi="Arial"/>
                <w:sz w:val="18"/>
                <w:szCs w:val="18"/>
                <w:i w:val="1"/>
                <w:iCs w:val="1"/>
                <w:color w:val="auto"/>
                <w:w w:val="91"/>
              </w:rPr>
              <w:t>(Unaudited)</w:t>
            </w: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57"/>
        </w:trPr>
        <w:tc>
          <w:tcPr>
            <w:tcW w:w="334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8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Thirteen Weeks Ended</w:t>
            </w:r>
          </w:p>
        </w:tc>
        <w:tc>
          <w:tcPr>
            <w:tcW w:w="56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580" w:type="dxa"/>
            <w:vAlign w:val="bottom"/>
            <w:tcBorders>
              <w:bottom w:val="single" w:sz="8" w:color="auto"/>
            </w:tcBorders>
            <w:gridSpan w:val="4"/>
          </w:tcPr>
          <w:p>
            <w:pPr>
              <w:jc w:val="right"/>
              <w:ind w:right="430"/>
              <w:spacing w:after="0"/>
              <w:rPr>
                <w:sz w:val="20"/>
                <w:szCs w:val="20"/>
                <w:color w:val="auto"/>
              </w:rPr>
            </w:pPr>
            <w:r>
              <w:rPr>
                <w:rFonts w:ascii="Arial" w:cs="Arial" w:eastAsia="Arial" w:hAnsi="Arial"/>
                <w:sz w:val="18"/>
                <w:szCs w:val="18"/>
                <w:color w:val="auto"/>
              </w:rPr>
              <w:t>Twenty-six Weeks Ended</w:t>
            </w:r>
          </w:p>
        </w:tc>
      </w:tr>
      <w:tr>
        <w:trPr>
          <w:trHeight w:val="263"/>
        </w:trPr>
        <w:tc>
          <w:tcPr>
            <w:tcW w:w="3340" w:type="dxa"/>
            <w:vAlign w:val="bottom"/>
          </w:tcPr>
          <w:p>
            <w:pPr>
              <w:spacing w:after="0"/>
              <w:rPr>
                <w:sz w:val="22"/>
                <w:szCs w:val="22"/>
                <w:color w:val="auto"/>
              </w:rPr>
            </w:pPr>
          </w:p>
        </w:tc>
        <w:tc>
          <w:tcPr>
            <w:tcW w:w="5900" w:type="dxa"/>
            <w:vAlign w:val="bottom"/>
            <w:gridSpan w:val="14"/>
          </w:tcPr>
          <w:p>
            <w:pPr>
              <w:spacing w:after="0"/>
              <w:rPr>
                <w:sz w:val="20"/>
                <w:szCs w:val="20"/>
                <w:color w:val="auto"/>
              </w:rPr>
            </w:pPr>
            <w:r>
              <w:rPr>
                <w:rFonts w:ascii="Arial" w:cs="Arial" w:eastAsia="Arial" w:hAnsi="Arial"/>
                <w:sz w:val="18"/>
                <w:szCs w:val="18"/>
                <w:color w:val="auto"/>
                <w:w w:val="90"/>
              </w:rPr>
              <w:t>November 26, 2022 November 27, 2021 November 26, 2022 November 27, 2021</w:t>
            </w:r>
          </w:p>
        </w:tc>
      </w:tr>
      <w:tr>
        <w:trPr>
          <w:trHeight w:val="223"/>
        </w:trPr>
        <w:tc>
          <w:tcPr>
            <w:tcW w:w="3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198,294</w:t>
            </w:r>
          </w:p>
        </w:tc>
        <w:tc>
          <w:tcPr>
            <w:tcW w:w="40" w:type="dxa"/>
            <w:vAlign w:val="bottom"/>
            <w:shd w:val="clear" w:color="auto" w:fill="CCEEFF"/>
          </w:tcPr>
          <w:p>
            <w:pPr>
              <w:spacing w:after="0"/>
              <w:rPr>
                <w:sz w:val="19"/>
                <w:szCs w:val="19"/>
                <w:color w:val="auto"/>
              </w:rPr>
            </w:pPr>
          </w:p>
        </w:tc>
        <w:tc>
          <w:tcPr>
            <w:tcW w:w="900" w:type="dxa"/>
            <w:vAlign w:val="bottom"/>
            <w:tcBorders>
              <w:top w:val="single" w:sz="8" w:color="auto"/>
            </w:tcBorders>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1,145</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323,428</w:t>
            </w:r>
          </w:p>
        </w:tc>
        <w:tc>
          <w:tcPr>
            <w:tcW w:w="40" w:type="dxa"/>
            <w:vAlign w:val="bottom"/>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(16,881)</w:t>
            </w:r>
          </w:p>
        </w:tc>
      </w:tr>
      <w:tr>
        <w:trPr>
          <w:trHeight w:val="256"/>
        </w:trPr>
        <w:tc>
          <w:tcPr>
            <w:tcW w:w="3340" w:type="dxa"/>
            <w:vAlign w:val="bottom"/>
          </w:tcPr>
          <w:p>
            <w:pPr>
              <w:spacing w:after="0"/>
              <w:rPr>
                <w:sz w:val="20"/>
                <w:szCs w:val="20"/>
                <w:color w:val="auto"/>
              </w:rPr>
            </w:pPr>
            <w:r>
              <w:rPr>
                <w:rFonts w:ascii="Arial" w:cs="Arial" w:eastAsia="Arial" w:hAnsi="Arial"/>
                <w:sz w:val="18"/>
                <w:szCs w:val="18"/>
                <w:color w:val="auto"/>
                <w:w w:val="96"/>
              </w:rPr>
              <w:t>Other comprehensive income (loss), before</w:t>
            </w: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tax:</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56"/>
        </w:trPr>
        <w:tc>
          <w:tcPr>
            <w:tcW w:w="33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Unrealized holding loss on available-for-</w:t>
            </w: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30"/>
        </w:trPr>
        <w:tc>
          <w:tcPr>
            <w:tcW w:w="3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sale securities, net of reclassification</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03"/>
        </w:trPr>
        <w:tc>
          <w:tcPr>
            <w:tcW w:w="33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adjustments</w:t>
            </w: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(974)</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(355)</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(1,971)</w:t>
            </w:r>
          </w:p>
        </w:tc>
        <w:tc>
          <w:tcPr>
            <w:tcW w:w="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(579)</w:t>
            </w:r>
          </w:p>
        </w:tc>
      </w:tr>
      <w:tr>
        <w:trPr>
          <w:trHeight w:val="243"/>
        </w:trPr>
        <w:tc>
          <w:tcPr>
            <w:tcW w:w="3340" w:type="dxa"/>
            <w:vAlign w:val="bottom"/>
          </w:tcPr>
          <w:p>
            <w:pPr>
              <w:ind w:left="120"/>
              <w:spacing w:after="0"/>
              <w:rPr>
                <w:sz w:val="20"/>
                <w:szCs w:val="20"/>
                <w:color w:val="auto"/>
              </w:rPr>
            </w:pPr>
            <w:r>
              <w:rPr>
                <w:rFonts w:ascii="Arial" w:cs="Arial" w:eastAsia="Arial" w:hAnsi="Arial"/>
                <w:sz w:val="18"/>
                <w:szCs w:val="18"/>
                <w:color w:val="auto"/>
                <w:w w:val="93"/>
              </w:rPr>
              <w:t>Income tax benefit related to items of other</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10"/>
        </w:trPr>
        <w:tc>
          <w:tcPr>
            <w:tcW w:w="3340" w:type="dxa"/>
            <w:vAlign w:val="bottom"/>
            <w:tcBorders>
              <w:bottom w:val="single" w:sz="8" w:color="CCEEFF"/>
            </w:tcBorders>
          </w:tcPr>
          <w:p>
            <w:pPr>
              <w:ind w:left="120"/>
              <w:spacing w:after="0" w:line="203" w:lineRule="exact"/>
              <w:rPr>
                <w:sz w:val="20"/>
                <w:szCs w:val="20"/>
                <w:color w:val="auto"/>
              </w:rPr>
            </w:pPr>
            <w:r>
              <w:rPr>
                <w:rFonts w:ascii="Arial" w:cs="Arial" w:eastAsia="Arial" w:hAnsi="Arial"/>
                <w:sz w:val="18"/>
                <w:szCs w:val="18"/>
                <w:color w:val="auto"/>
              </w:rPr>
              <w:t>comprehensive income</w:t>
            </w: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237</w:t>
            </w:r>
          </w:p>
        </w:tc>
        <w:tc>
          <w:tcPr>
            <w:tcW w:w="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480</w:t>
            </w:r>
          </w:p>
        </w:tc>
        <w:tc>
          <w:tcPr>
            <w:tcW w:w="4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141</w:t>
            </w: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net of tax</w:t>
            </w:r>
          </w:p>
        </w:tc>
        <w:tc>
          <w:tcPr>
            <w:tcW w:w="1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(1,491)</w:t>
            </w:r>
          </w:p>
        </w:tc>
        <w:tc>
          <w:tcPr>
            <w:tcW w:w="4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w:t>
            </w:r>
          </w:p>
        </w:tc>
      </w:tr>
      <w:tr>
        <w:trPr>
          <w:trHeight w:val="223"/>
        </w:trPr>
        <w:tc>
          <w:tcPr>
            <w:tcW w:w="3340" w:type="dxa"/>
            <w:vAlign w:val="bottom"/>
          </w:tcPr>
          <w:p>
            <w:pPr>
              <w:spacing w:after="0"/>
              <w:rPr>
                <w:sz w:val="20"/>
                <w:szCs w:val="20"/>
                <w:color w:val="auto"/>
              </w:rPr>
            </w:pPr>
            <w:r>
              <w:rPr>
                <w:rFonts w:ascii="Arial" w:cs="Arial" w:eastAsia="Arial" w:hAnsi="Arial"/>
                <w:sz w:val="18"/>
                <w:szCs w:val="18"/>
                <w:color w:val="auto"/>
              </w:rPr>
              <w:t>Comprehensive income (loss)</w:t>
            </w:r>
          </w:p>
        </w:tc>
        <w:tc>
          <w:tcPr>
            <w:tcW w:w="10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197,557</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877</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321,937</w:t>
            </w: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(17,319)</w:t>
            </w:r>
          </w:p>
        </w:tc>
      </w:tr>
      <w:tr>
        <w:trPr>
          <w:trHeight w:val="243"/>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w w:val="93"/>
              </w:rPr>
              <w:t>Less: Comprehensive loss attributable to the</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50"/>
        </w:trPr>
        <w:tc>
          <w:tcPr>
            <w:tcW w:w="3340" w:type="dxa"/>
            <w:vAlign w:val="bottom"/>
          </w:tcPr>
          <w:p>
            <w:pPr>
              <w:spacing w:after="0"/>
              <w:rPr>
                <w:sz w:val="20"/>
                <w:szCs w:val="20"/>
                <w:color w:val="auto"/>
              </w:rPr>
            </w:pPr>
            <w:r>
              <w:rPr>
                <w:rFonts w:ascii="Arial" w:cs="Arial" w:eastAsia="Arial" w:hAnsi="Arial"/>
                <w:sz w:val="18"/>
                <w:szCs w:val="18"/>
                <w:color w:val="auto"/>
                <w:w w:val="94"/>
              </w:rPr>
              <w:t>Comprehensive income (loss) attributable to</w:t>
            </w:r>
          </w:p>
        </w:tc>
        <w:tc>
          <w:tcPr>
            <w:tcW w:w="1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Cal-Maine Foods, Inc.</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197,850</w:t>
            </w:r>
          </w:p>
        </w:tc>
        <w:tc>
          <w:tcPr>
            <w:tcW w:w="940" w:type="dxa"/>
            <w:vAlign w:val="bottom"/>
            <w:gridSpan w:val="3"/>
          </w:tcPr>
          <w:p>
            <w:pPr>
              <w:jc w:val="right"/>
              <w:ind w:right="80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905</w:t>
            </w:r>
          </w:p>
        </w:tc>
        <w:tc>
          <w:tcPr>
            <w:tcW w:w="20" w:type="dxa"/>
            <w:vAlign w:val="bottom"/>
          </w:tcPr>
          <w:p>
            <w:pPr>
              <w:spacing w:after="0"/>
              <w:rPr>
                <w:sz w:val="18"/>
                <w:szCs w:val="18"/>
                <w:color w:val="auto"/>
              </w:rPr>
            </w:pPr>
          </w:p>
        </w:tc>
        <w:tc>
          <w:tcPr>
            <w:tcW w:w="360" w:type="dxa"/>
            <w:vAlign w:val="bottom"/>
            <w:gridSpan w:val="2"/>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322,383</w:t>
            </w:r>
          </w:p>
        </w:tc>
        <w:tc>
          <w:tcPr>
            <w:tcW w:w="520" w:type="dxa"/>
            <w:vAlign w:val="bottom"/>
            <w:gridSpan w:val="2"/>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(17,291)</w:t>
            </w:r>
          </w:p>
        </w:tc>
      </w:tr>
      <w:tr>
        <w:trPr>
          <w:trHeight w:val="20"/>
        </w:trPr>
        <w:tc>
          <w:tcPr>
            <w:tcW w:w="3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See Notes to Condensed Consolidated Financial Statements.</w:t>
      </w:r>
    </w:p>
    <w:p>
      <w:pPr>
        <w:sectPr>
          <w:pgSz w:w="11900" w:h="16838" w:orient="portrait"/>
          <w:cols w:equalWidth="0" w:num="1">
            <w:col w:w="9240"/>
          </w:cols>
          <w:pgMar w:left="1320" w:top="297"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9240"/>
          </w:cols>
          <w:pgMar w:left="1320" w:top="297" w:right="133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4420" w:type="dxa"/>
            <w:vAlign w:val="bottom"/>
          </w:tcPr>
          <w:p>
            <w:pPr>
              <w:spacing w:after="0"/>
              <w:rPr>
                <w:sz w:val="17"/>
                <w:szCs w:val="17"/>
                <w:color w:val="auto"/>
              </w:rPr>
            </w:pPr>
          </w:p>
        </w:tc>
        <w:tc>
          <w:tcPr>
            <w:tcW w:w="1420" w:type="dxa"/>
            <w:vAlign w:val="bottom"/>
            <w:gridSpan w:val="2"/>
          </w:tcPr>
          <w:p>
            <w:pPr>
              <w:jc w:val="center"/>
              <w:ind w:right="1020"/>
              <w:spacing w:after="0"/>
              <w:rPr>
                <w:sz w:val="20"/>
                <w:szCs w:val="20"/>
                <w:color w:val="auto"/>
              </w:rPr>
            </w:pPr>
            <w:r>
              <w:rPr>
                <w:rFonts w:ascii="Arial" w:cs="Arial" w:eastAsia="Arial" w:hAnsi="Arial"/>
                <w:sz w:val="18"/>
                <w:szCs w:val="18"/>
                <w:color w:val="0000FF"/>
                <w:w w:val="90"/>
              </w:rPr>
              <w:t>Index</w:t>
            </w:r>
          </w:p>
        </w:tc>
        <w:tc>
          <w:tcPr>
            <w:tcW w:w="7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1"/>
        </w:trPr>
        <w:tc>
          <w:tcPr>
            <w:tcW w:w="6600" w:type="dxa"/>
            <w:vAlign w:val="bottom"/>
            <w:gridSpan w:val="4"/>
          </w:tcPr>
          <w:p>
            <w:pPr>
              <w:ind w:left="3440"/>
              <w:spacing w:after="0"/>
              <w:rPr>
                <w:sz w:val="20"/>
                <w:szCs w:val="20"/>
                <w:color w:val="auto"/>
              </w:rPr>
            </w:pPr>
            <w:r>
              <w:rPr>
                <w:rFonts w:ascii="Arial" w:cs="Arial" w:eastAsia="Arial" w:hAnsi="Arial"/>
                <w:sz w:val="18"/>
                <w:szCs w:val="18"/>
                <w:b w:val="1"/>
                <w:bCs w:val="1"/>
                <w:color w:val="auto"/>
                <w:w w:val="93"/>
              </w:rPr>
              <w:t>Cal-Maine Foods, Inc. and Subsidiaries</w:t>
            </w: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6600" w:type="dxa"/>
            <w:vAlign w:val="bottom"/>
            <w:gridSpan w:val="4"/>
          </w:tcPr>
          <w:p>
            <w:pPr>
              <w:jc w:val="center"/>
              <w:ind w:left="2550"/>
              <w:spacing w:after="0"/>
              <w:rPr>
                <w:sz w:val="20"/>
                <w:szCs w:val="20"/>
                <w:color w:val="auto"/>
              </w:rPr>
            </w:pPr>
            <w:r>
              <w:rPr>
                <w:rFonts w:ascii="Arial" w:cs="Arial" w:eastAsia="Arial" w:hAnsi="Arial"/>
                <w:sz w:val="18"/>
                <w:szCs w:val="18"/>
                <w:b w:val="1"/>
                <w:bCs w:val="1"/>
                <w:color w:val="auto"/>
                <w:w w:val="87"/>
              </w:rPr>
              <w:t>Condensed Consolidated Statements of Cash Flows</w:t>
            </w: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40" w:type="dxa"/>
            <w:vAlign w:val="bottom"/>
            <w:gridSpan w:val="3"/>
          </w:tcPr>
          <w:p>
            <w:pPr>
              <w:jc w:val="center"/>
              <w:ind w:left="3310"/>
              <w:spacing w:after="0"/>
              <w:rPr>
                <w:sz w:val="20"/>
                <w:szCs w:val="20"/>
                <w:color w:val="auto"/>
              </w:rPr>
            </w:pPr>
            <w:r>
              <w:rPr>
                <w:rFonts w:ascii="Arial" w:cs="Arial" w:eastAsia="Arial" w:hAnsi="Arial"/>
                <w:sz w:val="18"/>
                <w:szCs w:val="18"/>
                <w:i w:val="1"/>
                <w:iCs w:val="1"/>
                <w:color w:val="auto"/>
                <w:w w:val="90"/>
              </w:rPr>
              <w:t>(In thousands)</w:t>
            </w: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40" w:type="dxa"/>
            <w:vAlign w:val="bottom"/>
            <w:gridSpan w:val="3"/>
          </w:tcPr>
          <w:p>
            <w:pPr>
              <w:jc w:val="center"/>
              <w:ind w:left="3310"/>
              <w:spacing w:after="0"/>
              <w:rPr>
                <w:sz w:val="20"/>
                <w:szCs w:val="20"/>
                <w:color w:val="auto"/>
              </w:rPr>
            </w:pPr>
            <w:r>
              <w:rPr>
                <w:rFonts w:ascii="Arial" w:cs="Arial" w:eastAsia="Arial" w:hAnsi="Arial"/>
                <w:sz w:val="18"/>
                <w:szCs w:val="18"/>
                <w:i w:val="1"/>
                <w:iCs w:val="1"/>
                <w:color w:val="auto"/>
                <w:w w:val="93"/>
              </w:rPr>
              <w:t>(Unaudited)</w:t>
            </w:r>
          </w:p>
        </w:tc>
        <w:tc>
          <w:tcPr>
            <w:tcW w:w="760" w:type="dxa"/>
            <w:vAlign w:val="bottom"/>
          </w:tcPr>
          <w:p>
            <w:pPr>
              <w:spacing w:after="0"/>
              <w:rPr>
                <w:sz w:val="19"/>
                <w:szCs w:val="19"/>
                <w:color w:val="auto"/>
              </w:rPr>
            </w:pPr>
          </w:p>
        </w:tc>
        <w:tc>
          <w:tcPr>
            <w:tcW w:w="2660" w:type="dxa"/>
            <w:vAlign w:val="bottom"/>
            <w:gridSpan w:val="6"/>
            <w:vMerge w:val="restart"/>
          </w:tcPr>
          <w:p>
            <w:pPr>
              <w:spacing w:after="0"/>
              <w:rPr>
                <w:sz w:val="20"/>
                <w:szCs w:val="20"/>
                <w:color w:val="auto"/>
              </w:rPr>
            </w:pPr>
            <w:r>
              <w:rPr>
                <w:rFonts w:ascii="Arial" w:cs="Arial" w:eastAsia="Arial" w:hAnsi="Arial"/>
                <w:sz w:val="18"/>
                <w:szCs w:val="18"/>
                <w:color w:val="auto"/>
              </w:rPr>
              <w:t>Twenty-six Weeks Ended</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60" w:type="dxa"/>
            <w:vAlign w:val="bottom"/>
            <w:gridSpan w:val="6"/>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700" w:type="dxa"/>
            <w:vAlign w:val="bottom"/>
            <w:tcBorders>
              <w:top w:val="single" w:sz="8" w:color="auto"/>
            </w:tcBorders>
            <w:gridSpan w:val="3"/>
          </w:tcPr>
          <w:p>
            <w:pPr>
              <w:ind w:left="100"/>
              <w:spacing w:after="0"/>
              <w:rPr>
                <w:sz w:val="20"/>
                <w:szCs w:val="20"/>
                <w:color w:val="auto"/>
              </w:rPr>
            </w:pPr>
            <w:r>
              <w:rPr>
                <w:rFonts w:ascii="Arial" w:cs="Arial" w:eastAsia="Arial" w:hAnsi="Arial"/>
                <w:sz w:val="18"/>
                <w:szCs w:val="18"/>
                <w:color w:val="auto"/>
                <w:w w:val="99"/>
              </w:rPr>
              <w:t>November 26, 2022</w:t>
            </w: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8"/>
              </w:rPr>
              <w:t>November 27, 2021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4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7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gridSpan w:val="3"/>
          </w:tcPr>
          <w:p>
            <w:pPr>
              <w:ind w:left="120"/>
              <w:spacing w:after="0"/>
              <w:rPr>
                <w:sz w:val="20"/>
                <w:szCs w:val="20"/>
                <w:color w:val="auto"/>
              </w:rPr>
            </w:pPr>
            <w:r>
              <w:rPr>
                <w:rFonts w:ascii="Arial" w:cs="Arial" w:eastAsia="Arial" w:hAnsi="Arial"/>
                <w:sz w:val="18"/>
                <w:szCs w:val="18"/>
                <w:color w:val="auto"/>
              </w:rPr>
              <w:t>Net income (loss)</w:t>
            </w:r>
          </w:p>
        </w:tc>
        <w:tc>
          <w:tcPr>
            <w:tcW w:w="760" w:type="dxa"/>
            <w:vAlign w:val="bottom"/>
          </w:tcPr>
          <w:p>
            <w:pPr>
              <w:jc w:val="right"/>
              <w:ind w:right="602"/>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323,428</w:t>
            </w:r>
          </w:p>
        </w:tc>
        <w:tc>
          <w:tcPr>
            <w:tcW w:w="6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(16,881)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7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34,729</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gridSpan w:val="3"/>
          </w:tcPr>
          <w:p>
            <w:pPr>
              <w:ind w:left="120"/>
              <w:spacing w:after="0"/>
              <w:rPr>
                <w:sz w:val="20"/>
                <w:szCs w:val="20"/>
                <w:color w:val="auto"/>
              </w:rPr>
            </w:pPr>
            <w:r>
              <w:rPr>
                <w:rFonts w:ascii="Arial" w:cs="Arial" w:eastAsia="Arial" w:hAnsi="Arial"/>
                <w:sz w:val="18"/>
                <w:szCs w:val="18"/>
                <w:color w:val="auto"/>
              </w:rPr>
              <w:t>Deferred income taxes</w:t>
            </w:r>
          </w:p>
        </w:tc>
        <w:tc>
          <w:tcPr>
            <w:tcW w:w="7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(540)</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(15,995)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Other adjustments, net</w:t>
            </w:r>
          </w:p>
        </w:tc>
        <w:tc>
          <w:tcPr>
            <w:tcW w:w="7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(12,830)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gridSpan w:val="3"/>
          </w:tcPr>
          <w:p>
            <w:pPr>
              <w:spacing w:after="0"/>
              <w:rPr>
                <w:sz w:val="20"/>
                <w:szCs w:val="20"/>
                <w:color w:val="auto"/>
              </w:rPr>
            </w:pPr>
            <w:r>
              <w:rPr>
                <w:rFonts w:ascii="Arial" w:cs="Arial" w:eastAsia="Arial" w:hAnsi="Arial"/>
                <w:sz w:val="18"/>
                <w:szCs w:val="18"/>
                <w:color w:val="auto"/>
              </w:rPr>
              <w:t>Net cash provided by (used in) operations</w:t>
            </w:r>
          </w:p>
        </w:tc>
        <w:tc>
          <w:tcPr>
            <w:tcW w:w="7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344,787</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gridSpan w:val="3"/>
          </w:tcPr>
          <w:p>
            <w:pPr>
              <w:spacing w:after="0"/>
              <w:rPr>
                <w:sz w:val="20"/>
                <w:szCs w:val="20"/>
                <w:color w:val="auto"/>
              </w:rPr>
            </w:pPr>
            <w:r>
              <w:rPr>
                <w:rFonts w:ascii="Arial" w:cs="Arial" w:eastAsia="Arial" w:hAnsi="Arial"/>
                <w:sz w:val="18"/>
                <w:szCs w:val="18"/>
                <w:color w:val="auto"/>
              </w:rPr>
              <w:t>Cash flows from investing activities:</w:t>
            </w:r>
          </w:p>
        </w:tc>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Purchases of investment securities</w:t>
            </w:r>
          </w:p>
        </w:tc>
        <w:tc>
          <w:tcPr>
            <w:tcW w:w="7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(152,365)</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gridSpan w:val="3"/>
          </w:tcPr>
          <w:p>
            <w:pPr>
              <w:ind w:left="120"/>
              <w:spacing w:after="0"/>
              <w:rPr>
                <w:sz w:val="20"/>
                <w:szCs w:val="20"/>
                <w:color w:val="auto"/>
              </w:rPr>
            </w:pPr>
            <w:r>
              <w:rPr>
                <w:rFonts w:ascii="Arial" w:cs="Arial" w:eastAsia="Arial" w:hAnsi="Arial"/>
                <w:sz w:val="18"/>
                <w:szCs w:val="18"/>
                <w:color w:val="auto"/>
              </w:rPr>
              <w:t>Sales and maturities of investment securities</w:t>
            </w:r>
          </w:p>
        </w:tc>
        <w:tc>
          <w:tcPr>
            <w:tcW w:w="7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65,279</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67,864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Distributions from unconsolidated entities</w:t>
            </w:r>
          </w:p>
        </w:tc>
        <w:tc>
          <w:tcPr>
            <w:tcW w:w="7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gridSpan w:val="3"/>
          </w:tcPr>
          <w:p>
            <w:pPr>
              <w:ind w:left="120"/>
              <w:spacing w:after="0"/>
              <w:rPr>
                <w:sz w:val="20"/>
                <w:szCs w:val="20"/>
                <w:color w:val="auto"/>
              </w:rPr>
            </w:pPr>
            <w:r>
              <w:rPr>
                <w:rFonts w:ascii="Arial" w:cs="Arial" w:eastAsia="Arial" w:hAnsi="Arial"/>
                <w:sz w:val="18"/>
                <w:szCs w:val="18"/>
                <w:color w:val="auto"/>
              </w:rPr>
              <w:t>Acquisition of business, net of cash acquired</w:t>
            </w:r>
          </w:p>
        </w:tc>
        <w:tc>
          <w:tcPr>
            <w:tcW w:w="76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(44,823)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Purchases of property, plant and equipment</w:t>
            </w:r>
          </w:p>
        </w:tc>
        <w:tc>
          <w:tcPr>
            <w:tcW w:w="7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(59,709)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bottom w:val="single" w:sz="8" w:color="CCEEFF"/>
            </w:tcBorders>
            <w:gridSpan w:val="3"/>
          </w:tcPr>
          <w:p>
            <w:pPr>
              <w:ind w:left="120"/>
              <w:spacing w:after="0"/>
              <w:rPr>
                <w:sz w:val="20"/>
                <w:szCs w:val="20"/>
                <w:color w:val="auto"/>
              </w:rPr>
            </w:pPr>
            <w:r>
              <w:rPr>
                <w:rFonts w:ascii="Arial" w:cs="Arial" w:eastAsia="Arial" w:hAnsi="Arial"/>
                <w:sz w:val="18"/>
                <w:szCs w:val="18"/>
                <w:color w:val="auto"/>
              </w:rPr>
              <w:t>Net proceeds from disposal of property, plant and equipment</w:t>
            </w:r>
          </w:p>
        </w:tc>
        <w:tc>
          <w:tcPr>
            <w:tcW w:w="7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7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(146,703)</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7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840" w:type="dxa"/>
            <w:vAlign w:val="bottom"/>
            <w:gridSpan w:val="3"/>
          </w:tcPr>
          <w:p>
            <w:pPr>
              <w:ind w:left="120"/>
              <w:spacing w:after="0"/>
              <w:rPr>
                <w:sz w:val="20"/>
                <w:szCs w:val="20"/>
                <w:color w:val="auto"/>
              </w:rPr>
            </w:pPr>
            <w:r>
              <w:rPr>
                <w:rFonts w:ascii="Arial" w:cs="Arial" w:eastAsia="Arial" w:hAnsi="Arial"/>
                <w:sz w:val="18"/>
                <w:szCs w:val="18"/>
                <w:color w:val="auto"/>
              </w:rPr>
              <w:t>Payments of dividends</w:t>
            </w:r>
          </w:p>
        </w:tc>
        <w:tc>
          <w:tcPr>
            <w:tcW w:w="7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(78,394)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gridSpan w:val="2"/>
          </w:tcPr>
          <w:p>
            <w:pPr>
              <w:ind w:left="1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Purchase of common stock by treasury</w:t>
            </w:r>
          </w:p>
        </w:tc>
        <w:tc>
          <w:tcPr>
            <w:tcW w:w="7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40" w:type="dxa"/>
            <w:vAlign w:val="bottom"/>
            <w:gridSpan w:val="3"/>
          </w:tcPr>
          <w:p>
            <w:pPr>
              <w:ind w:left="120"/>
              <w:spacing w:after="0"/>
              <w:rPr>
                <w:sz w:val="20"/>
                <w:szCs w:val="20"/>
                <w:color w:val="auto"/>
              </w:rPr>
            </w:pPr>
            <w:r>
              <w:rPr>
                <w:rFonts w:ascii="Arial" w:cs="Arial" w:eastAsia="Arial" w:hAnsi="Arial"/>
                <w:sz w:val="18"/>
                <w:szCs w:val="18"/>
                <w:color w:val="auto"/>
              </w:rPr>
              <w:t>Principal payments on finance lease</w:t>
            </w:r>
          </w:p>
        </w:tc>
        <w:tc>
          <w:tcPr>
            <w:tcW w:w="76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(94)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Contributions</w:t>
            </w:r>
          </w:p>
        </w:tc>
        <w:tc>
          <w:tcPr>
            <w:tcW w:w="7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gridSpan w:val="3"/>
          </w:tcPr>
          <w:p>
            <w:pPr>
              <w:spacing w:after="0"/>
              <w:rPr>
                <w:sz w:val="20"/>
                <w:szCs w:val="20"/>
                <w:color w:val="auto"/>
              </w:rPr>
            </w:pPr>
            <w:r>
              <w:rPr>
                <w:rFonts w:ascii="Arial" w:cs="Arial" w:eastAsia="Arial" w:hAnsi="Arial"/>
                <w:sz w:val="18"/>
                <w:szCs w:val="18"/>
                <w:color w:val="auto"/>
              </w:rPr>
              <w:t>Net cash used in financing activities</w:t>
            </w:r>
          </w:p>
        </w:tc>
        <w:tc>
          <w:tcPr>
            <w:tcW w:w="76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(78,533)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4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40" w:type="dxa"/>
            <w:vAlign w:val="bottom"/>
            <w:gridSpan w:val="3"/>
          </w:tcPr>
          <w:p>
            <w:pPr>
              <w:spacing w:after="0"/>
              <w:rPr>
                <w:sz w:val="20"/>
                <w:szCs w:val="20"/>
                <w:color w:val="auto"/>
              </w:rPr>
            </w:pPr>
            <w:r>
              <w:rPr>
                <w:rFonts w:ascii="Arial" w:cs="Arial" w:eastAsia="Arial" w:hAnsi="Arial"/>
                <w:sz w:val="18"/>
                <w:szCs w:val="18"/>
                <w:color w:val="auto"/>
              </w:rPr>
              <w:t>Net change in cash and cash equivalents</w:t>
            </w:r>
          </w:p>
        </w:tc>
        <w:tc>
          <w:tcPr>
            <w:tcW w:w="7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119,551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(41,868)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Cash and cash equivalents at beginning of period</w:t>
            </w:r>
          </w:p>
        </w:tc>
        <w:tc>
          <w:tcPr>
            <w:tcW w:w="7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59,084</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760" w:type="dxa"/>
            <w:vAlign w:val="bottom"/>
            <w:shd w:val="clear" w:color="auto" w:fill="CCEEFF"/>
          </w:tcPr>
          <w:p>
            <w:pPr>
              <w:jc w:val="right"/>
              <w:ind w:right="602"/>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178,635</w:t>
            </w:r>
          </w:p>
        </w:tc>
        <w:tc>
          <w:tcPr>
            <w:tcW w:w="6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See Notes to Condensed Consolidated Financial Statements.</w:t>
      </w:r>
    </w:p>
    <w:p>
      <w:pPr>
        <w:sectPr>
          <w:pgSz w:w="11900" w:h="16838" w:orient="portrait"/>
          <w:cols w:equalWidth="0" w:num="1">
            <w:col w:w="9240"/>
          </w:cols>
          <w:pgMar w:left="1320" w:top="297"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9240"/>
          </w:cols>
          <w:pgMar w:left="1320" w:top="297" w:right="1339" w:bottom="1440" w:gutter="0" w:footer="0" w:header="0"/>
          <w:type w:val="continuous"/>
        </w:sectPr>
      </w:pPr>
    </w:p>
    <w:bookmarkStart w:id="6" w:name="page7"/>
    <w:bookmarkEnd w:id="6"/>
    <w:p>
      <w:pPr>
        <w:jc w:val="center"/>
        <w:ind w:right="60"/>
        <w:spacing w:after="0"/>
        <w:rPr>
          <w:sz w:val="20"/>
          <w:szCs w:val="20"/>
          <w:color w:val="auto"/>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78"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Cal-Maine Foods, Inc. and Subsidiaries</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25" w:lineRule="exact"/>
        <w:rPr>
          <w:sz w:val="20"/>
          <w:szCs w:val="20"/>
          <w:color w:val="auto"/>
        </w:rPr>
      </w:pPr>
    </w:p>
    <w:p>
      <w:pPr>
        <w:jc w:val="both"/>
        <w:ind w:right="40"/>
        <w:spacing w:after="0" w:line="251" w:lineRule="auto"/>
        <w:rPr>
          <w:sz w:val="20"/>
          <w:szCs w:val="20"/>
          <w:color w:val="auto"/>
        </w:rPr>
      </w:pPr>
      <w:r>
        <w:rPr>
          <w:rFonts w:ascii="Arial" w:cs="Arial" w:eastAsia="Arial" w:hAnsi="Arial"/>
          <w:sz w:val="18"/>
          <w:szCs w:val="18"/>
          <w:color w:val="auto"/>
        </w:rPr>
        <w:t>The unaudited condensed consolidated financial statements of Cal-Maine Foods, Inc. and its subsidiaries (the “Company,” “we,” “us,” “our”) have been prepared in accordance with the instructions to Form 10-Q and Article 10 of Regulation S-X and in accordance with generally accepted accounting principles in the United States of America (“GAAP”) for interim financial reporting and should be read in conjunction with our Annual Report on Form 10-K for the fiscal year ended May 28, 2022 (the “2022 Annual Report”). These statements reflect all adjustments that are, in the opinion of management, necessary to a fair statement of the results for the interim periods presented and, in the opinion of management, consist of adjustments of a normal recurring nature. Operating results for the interim periods are not necessarily indicative of operating results for the entire fiscal year.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w:t>
      </w:r>
    </w:p>
    <w:p>
      <w:pPr>
        <w:spacing w:after="0" w:line="225" w:lineRule="exact"/>
        <w:rPr>
          <w:sz w:val="20"/>
          <w:szCs w:val="20"/>
          <w:color w:val="auto"/>
        </w:rPr>
      </w:pPr>
    </w:p>
    <w:p>
      <w:pPr>
        <w:ind w:right="120"/>
        <w:spacing w:after="0" w:line="307" w:lineRule="auto"/>
        <w:rPr>
          <w:sz w:val="20"/>
          <w:szCs w:val="20"/>
          <w:color w:val="auto"/>
        </w:rPr>
      </w:pPr>
      <w:r>
        <w:rPr>
          <w:rFonts w:ascii="Arial" w:cs="Arial" w:eastAsia="Arial" w:hAnsi="Arial"/>
          <w:sz w:val="17"/>
          <w:szCs w:val="17"/>
          <w:color w:val="auto"/>
        </w:rPr>
        <w:t>The Company’s fiscal year ends on the Saturday closest to May 31. Each of the three-month periods and year-to-date periods ended on November 26, 2022 and November 27, 2021 included 13 weeks and 26 weeks, respectively.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25"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The preparation of the consolidated financial statements in conformity with GAAP requires management to make estimates and assumptions that affect the amounts reported in the consolidated financial statements and accompanying notes. Actual results could differ from those estimates.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Securities</w:t>
      </w:r>
    </w:p>
    <w:p>
      <w:pPr>
        <w:spacing w:after="0" w:line="225"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Our investment securities are accounted for in accordance with ASC 320, “Investments - Debt and Equity Securities” (“ASC 320”). The Company considers all its debt securities for which there is a determinable fair market value, and there are no restrictions on the Company’s ability to sell within the next 12 months, as available-for-sale. We classify these securities as current, because the amounts invested are available for current operations. Available-for-sale securities are carried at fair value, with unrealized gains and losses reported in other comprehensive income until realized. The total of other comprehensive income for the period is presented as a component of stockholders' equity separately from retained earnings and additional paid-in capital. The Company regularly evaluates changes to the rating of its debt securities by credit agencies and economic conditions to assess and record any expected credit losses through the allowance for credit losses, limited to the amount that fair value was less than the amortized cost basis. The cost basis for realized gains and losses on available-for-sale securities is determined by the specific identification method. Gains and losses are recognized in other income (expenses) as Other, net in the Company’s Condensed Consolidated Statements of Operations. Investments in mutual funds are classified as “Other long-term assets” in the Company’s Condensed Consolidated Balance Sheets.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Trade Receivables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Trade receivables are stated at their carrying values, which include a reserve for credit losses. As of November 26, 2022 and May 28, 2022, reserves for credit losses were $838 thousand and $775 thousand, respectively. The Company extends credit to customers based on an evaluation of each customer's financial condition and credit history. Collateral is generally not required. The Company minimizes exposure to counter party credit risk through credit analysis and approvals, credit limits, and monitoring procedures. In determining our reserve for credit losses, receivables are assigned an expected loss based on historical loss information adjusted as needed for economic and other forward-looking factors.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 Payable</w:t>
      </w:r>
    </w:p>
    <w:p>
      <w:pPr>
        <w:spacing w:after="0" w:line="225" w:lineRule="exact"/>
        <w:rPr>
          <w:sz w:val="20"/>
          <w:szCs w:val="20"/>
          <w:color w:val="auto"/>
        </w:rPr>
      </w:pPr>
    </w:p>
    <w:p>
      <w:pPr>
        <w:jc w:val="both"/>
        <w:ind w:right="60"/>
        <w:spacing w:after="0" w:line="287" w:lineRule="auto"/>
        <w:rPr>
          <w:sz w:val="20"/>
          <w:szCs w:val="20"/>
          <w:color w:val="auto"/>
        </w:rPr>
      </w:pPr>
      <w:r>
        <w:rPr>
          <w:rFonts w:ascii="Arial" w:cs="Arial" w:eastAsia="Arial" w:hAnsi="Arial"/>
          <w:sz w:val="16"/>
          <w:szCs w:val="16"/>
          <w:color w:val="auto"/>
        </w:rPr>
        <w:t>We accrue dividends at the end of each quarter according to the Company’s dividend policy adopted by its Board of Directors. The Company pays a dividend to shareholders of its Common Stock and Class A Common Stock on a quarterly basis for each quarter for which the Company reports net income attributable to Cal-Maine Foods, Inc. computed in accordance with GAAP in an amount equal to one-third (1/3) of such quarterly income. Dividends are paid to shareholders of record as of the 60th day following the last day of such quarter, except for the fourth fiscal quarter. For the fourth quarter, the Company pays dividends</w:t>
      </w:r>
    </w:p>
    <w:p>
      <w:pPr>
        <w:sectPr>
          <w:pgSz w:w="11900" w:h="16838" w:orient="portrait"/>
          <w:cols w:equalWidth="0" w:num="1">
            <w:col w:w="9300"/>
          </w:cols>
          <w:pgMar w:left="1320" w:top="315" w:right="1279" w:bottom="1440" w:gutter="0" w:footer="0" w:header="0"/>
        </w:sectPr>
      </w:pPr>
    </w:p>
    <w:p>
      <w:pPr>
        <w:spacing w:after="0" w:line="371"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9300"/>
          </w:cols>
          <w:pgMar w:left="1320" w:top="315" w:right="127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82" w:lineRule="exact"/>
        <w:rPr>
          <w:sz w:val="20"/>
          <w:szCs w:val="20"/>
          <w:color w:val="auto"/>
        </w:rPr>
      </w:pPr>
    </w:p>
    <w:p>
      <w:pPr>
        <w:jc w:val="both"/>
        <w:ind w:left="40" w:right="60"/>
        <w:spacing w:after="0" w:line="254" w:lineRule="auto"/>
        <w:rPr>
          <w:sz w:val="20"/>
          <w:szCs w:val="20"/>
          <w:color w:val="auto"/>
        </w:rPr>
      </w:pPr>
      <w:r>
        <w:rPr>
          <w:rFonts w:ascii="Arial" w:cs="Arial" w:eastAsia="Arial" w:hAnsi="Arial"/>
          <w:sz w:val="18"/>
          <w:szCs w:val="18"/>
          <w:color w:val="auto"/>
        </w:rPr>
        <w:t>to shareholders of record on the 65th day after the quarter end. Dividends are payable on the 15th day following the record date. Following a quarter for which the Company does not report net income attributable to Cal-Maine Foods, Inc., the Company will not pay a dividend for a subsequent profitable quarter until the Company is profitable on a cumulative basis computed from the date of the most recent quarter for which a dividend was paid.</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Immaterial Error Correction</w:t>
      </w:r>
    </w:p>
    <w:p>
      <w:pPr>
        <w:spacing w:after="0" w:line="225" w:lineRule="exact"/>
        <w:rPr>
          <w:sz w:val="20"/>
          <w:szCs w:val="20"/>
          <w:color w:val="auto"/>
        </w:rPr>
      </w:pPr>
    </w:p>
    <w:p>
      <w:pPr>
        <w:jc w:val="both"/>
        <w:ind w:left="40"/>
        <w:spacing w:after="0" w:line="247" w:lineRule="auto"/>
        <w:rPr>
          <w:sz w:val="20"/>
          <w:szCs w:val="20"/>
          <w:color w:val="auto"/>
        </w:rPr>
      </w:pPr>
      <w:r>
        <w:rPr>
          <w:rFonts w:ascii="Arial" w:cs="Arial" w:eastAsia="Arial" w:hAnsi="Arial"/>
          <w:sz w:val="18"/>
          <w:szCs w:val="18"/>
          <w:color w:val="auto"/>
        </w:rPr>
        <w:t>Effective on May 30, 2021, the Company acquired the remaining 50% membership interest in Red River Valley Egg Farm, LLC (“Red River”), including certain liabilities. During the Company’s third quarter of fiscal 2022, management determined that it had not properly eliminated select intercompany sales and cost of sales transactions between Red River and the corresponding other wholly-owned subsidiaries of the Company in its first and second quarter 2022 Condensed Consolidated Statements of Operations. The errors resulted in an overstatement of Net Sales and Cost of Sales of $6.7 million in the first quarter of fiscal 2022 and $9.2 million in the second quarter of fiscal 2022. There was no impact to Operating loss, Net income (loss) or Net income (loss) per share.</w:t>
      </w:r>
    </w:p>
    <w:p>
      <w:pPr>
        <w:spacing w:after="0" w:line="183" w:lineRule="exact"/>
        <w:rPr>
          <w:sz w:val="20"/>
          <w:szCs w:val="20"/>
          <w:color w:val="auto"/>
        </w:rPr>
      </w:pPr>
    </w:p>
    <w:p>
      <w:pPr>
        <w:jc w:val="both"/>
        <w:ind w:left="40" w:right="60"/>
        <w:spacing w:after="0" w:line="266" w:lineRule="auto"/>
        <w:rPr>
          <w:sz w:val="20"/>
          <w:szCs w:val="20"/>
          <w:color w:val="auto"/>
        </w:rPr>
      </w:pPr>
      <w:r>
        <w:rPr>
          <w:rFonts w:ascii="Arial" w:cs="Arial" w:eastAsia="Arial" w:hAnsi="Arial"/>
          <w:sz w:val="17"/>
          <w:szCs w:val="17"/>
          <w:color w:val="auto"/>
        </w:rPr>
        <w:t>We evaluated the errors quantitatively and qualitatively in accordance with Staff Accounting Bulletin ("SAB") No. 99 Materiality, and SAB No. 108 Considering the Effects of Prior Year Misstatements when Quantifying Misstatements in the Current Year Financial Statements, and determined that the related impact was not material to our condensed consolidated financial statements for the first or second quarters of fiscal 2022, but that correcting the cumulative impact of the errors would be relevant to our Condensed Consolidated Statements of Operations for the third quarter ended February 26, 2022. Accordingly, we have reflected the correction of the immaterial error in fiscal 2022 as a reduction of Net Sales and Cost of Sales in the accompanying Condensed Consolidated Statements of Operations.</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New Accounting Pronouncements and Policies</w:t>
      </w:r>
    </w:p>
    <w:p>
      <w:pPr>
        <w:spacing w:after="0" w:line="212" w:lineRule="exact"/>
        <w:rPr>
          <w:sz w:val="20"/>
          <w:szCs w:val="20"/>
          <w:color w:val="auto"/>
        </w:rPr>
      </w:pPr>
    </w:p>
    <w:p>
      <w:pPr>
        <w:ind w:left="40" w:right="80"/>
        <w:spacing w:after="0" w:line="261" w:lineRule="auto"/>
        <w:rPr>
          <w:sz w:val="20"/>
          <w:szCs w:val="20"/>
          <w:color w:val="auto"/>
        </w:rPr>
      </w:pPr>
      <w:r>
        <w:rPr>
          <w:rFonts w:ascii="Arial" w:cs="Arial" w:eastAsia="Arial" w:hAnsi="Arial"/>
          <w:sz w:val="18"/>
          <w:szCs w:val="18"/>
          <w:color w:val="auto"/>
        </w:rPr>
        <w:t>No new accounting pronouncement issued or effective during the fiscal year had or is expected to have a material impact on our Consolidated Financial Statements.</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2 - Investment Securities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7"/>
          <w:szCs w:val="17"/>
          <w:color w:val="auto"/>
        </w:rPr>
        <w:t>The following represents the Company’s investment securities as of November 26, 2022 and May 28, 2022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Amortized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5" w:type="dxa"/>
            <w:vAlign w:val="bottom"/>
          </w:tcPr>
          <w:p>
            <w:pPr>
              <w:spacing w:after="0"/>
              <w:rPr>
                <w:sz w:val="18"/>
                <w:szCs w:val="18"/>
                <w:color w:val="auto"/>
              </w:rPr>
            </w:pPr>
          </w:p>
        </w:tc>
        <w:tc>
          <w:tcPr>
            <w:tcW w:w="1305" w:type="dxa"/>
            <w:vAlign w:val="bottom"/>
            <w:gridSpan w:val="4"/>
          </w:tcPr>
          <w:p>
            <w:pPr>
              <w:ind w:left="105"/>
              <w:spacing w:after="0"/>
              <w:rPr>
                <w:sz w:val="20"/>
                <w:szCs w:val="20"/>
                <w:color w:val="auto"/>
              </w:rPr>
            </w:pPr>
            <w:r>
              <w:rPr>
                <w:rFonts w:ascii="Arial" w:cs="Arial" w:eastAsia="Arial" w:hAnsi="Arial"/>
                <w:sz w:val="18"/>
                <w:szCs w:val="18"/>
                <w:color w:val="auto"/>
              </w:rPr>
              <w:t>Unrealized</w:t>
            </w:r>
          </w:p>
        </w:tc>
        <w:tc>
          <w:tcPr>
            <w:tcW w:w="140" w:type="dxa"/>
            <w:vAlign w:val="bottom"/>
          </w:tcPr>
          <w:p>
            <w:pPr>
              <w:spacing w:after="0"/>
              <w:rPr>
                <w:sz w:val="18"/>
                <w:szCs w:val="18"/>
                <w:color w:val="auto"/>
              </w:rPr>
            </w:pPr>
          </w:p>
        </w:tc>
        <w:tc>
          <w:tcPr>
            <w:tcW w:w="1140" w:type="dxa"/>
            <w:vAlign w:val="bottom"/>
          </w:tcPr>
          <w:p>
            <w:pPr>
              <w:jc w:val="right"/>
              <w:ind w:right="170"/>
              <w:spacing w:after="0"/>
              <w:rPr>
                <w:sz w:val="20"/>
                <w:szCs w:val="20"/>
                <w:color w:val="auto"/>
              </w:rPr>
            </w:pPr>
            <w:r>
              <w:rPr>
                <w:rFonts w:ascii="Arial" w:cs="Arial" w:eastAsia="Arial" w:hAnsi="Arial"/>
                <w:sz w:val="18"/>
                <w:szCs w:val="18"/>
                <w:color w:val="auto"/>
                <w:w w:val="99"/>
              </w:rPr>
              <w:t>Unrealized</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ind w:right="190"/>
              <w:spacing w:after="0"/>
              <w:rPr>
                <w:sz w:val="20"/>
                <w:szCs w:val="20"/>
                <w:color w:val="auto"/>
              </w:rPr>
            </w:pPr>
            <w:r>
              <w:rPr>
                <w:rFonts w:ascii="Arial" w:cs="Arial" w:eastAsia="Arial" w:hAnsi="Arial"/>
                <w:sz w:val="18"/>
                <w:szCs w:val="18"/>
                <w:color w:val="auto"/>
              </w:rPr>
              <w:t>Estimated</w:t>
            </w:r>
          </w:p>
        </w:tc>
        <w:tc>
          <w:tcPr>
            <w:tcW w:w="20" w:type="dxa"/>
            <w:vAlign w:val="bottom"/>
          </w:tcPr>
          <w:p>
            <w:pPr>
              <w:spacing w:after="0"/>
              <w:rPr>
                <w:sz w:val="18"/>
                <w:szCs w:val="18"/>
                <w:color w:val="auto"/>
              </w:rPr>
            </w:pPr>
          </w:p>
        </w:tc>
      </w:tr>
      <w:tr>
        <w:trPr>
          <w:trHeight w:val="216"/>
        </w:trPr>
        <w:tc>
          <w:tcPr>
            <w:tcW w:w="3440" w:type="dxa"/>
            <w:vAlign w:val="bottom"/>
          </w:tcPr>
          <w:p>
            <w:pPr>
              <w:ind w:left="40"/>
              <w:spacing w:after="0"/>
              <w:rPr>
                <w:sz w:val="20"/>
                <w:szCs w:val="20"/>
                <w:color w:val="auto"/>
              </w:rPr>
            </w:pPr>
            <w:r>
              <w:rPr>
                <w:rFonts w:ascii="Arial" w:cs="Arial" w:eastAsia="Arial" w:hAnsi="Arial"/>
                <w:sz w:val="18"/>
                <w:szCs w:val="18"/>
                <w:color w:val="auto"/>
              </w:rPr>
              <w:t>November 26, 2022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390"/>
              <w:spacing w:after="0"/>
              <w:rPr>
                <w:sz w:val="20"/>
                <w:szCs w:val="20"/>
                <w:color w:val="auto"/>
              </w:rPr>
            </w:pPr>
            <w:r>
              <w:rPr>
                <w:rFonts w:ascii="Arial" w:cs="Arial" w:eastAsia="Arial" w:hAnsi="Arial"/>
                <w:sz w:val="18"/>
                <w:szCs w:val="18"/>
                <w:color w:val="auto"/>
              </w:rPr>
              <w:t>Cost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5" w:type="dxa"/>
            <w:vAlign w:val="bottom"/>
          </w:tcPr>
          <w:p>
            <w:pPr>
              <w:spacing w:after="0"/>
              <w:rPr>
                <w:sz w:val="18"/>
                <w:szCs w:val="18"/>
                <w:color w:val="auto"/>
              </w:rPr>
            </w:pPr>
          </w:p>
        </w:tc>
        <w:tc>
          <w:tcPr>
            <w:tcW w:w="1305" w:type="dxa"/>
            <w:vAlign w:val="bottom"/>
            <w:gridSpan w:val="4"/>
          </w:tcPr>
          <w:p>
            <w:pPr>
              <w:ind w:left="285"/>
              <w:spacing w:after="0"/>
              <w:rPr>
                <w:sz w:val="20"/>
                <w:szCs w:val="20"/>
                <w:color w:val="auto"/>
              </w:rPr>
            </w:pPr>
            <w:r>
              <w:rPr>
                <w:rFonts w:ascii="Arial" w:cs="Arial" w:eastAsia="Arial" w:hAnsi="Arial"/>
                <w:sz w:val="18"/>
                <w:szCs w:val="18"/>
                <w:color w:val="auto"/>
              </w:rPr>
              <w:t>Gains</w:t>
            </w:r>
          </w:p>
        </w:tc>
        <w:tc>
          <w:tcPr>
            <w:tcW w:w="140" w:type="dxa"/>
            <w:vAlign w:val="bottom"/>
          </w:tcPr>
          <w:p>
            <w:pPr>
              <w:spacing w:after="0"/>
              <w:rPr>
                <w:sz w:val="18"/>
                <w:szCs w:val="18"/>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color w:val="auto"/>
              </w:rPr>
              <w:t>Losses</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ind w:right="190"/>
              <w:spacing w:after="0"/>
              <w:rPr>
                <w:sz w:val="20"/>
                <w:szCs w:val="20"/>
                <w:color w:val="auto"/>
              </w:rPr>
            </w:pPr>
            <w:r>
              <w:rPr>
                <w:rFonts w:ascii="Arial" w:cs="Arial" w:eastAsia="Arial" w:hAnsi="Arial"/>
                <w:sz w:val="18"/>
                <w:szCs w:val="18"/>
                <w:color w:val="auto"/>
              </w:rPr>
              <w:t>Fair Value</w:t>
            </w:r>
          </w:p>
        </w:tc>
        <w:tc>
          <w:tcPr>
            <w:tcW w:w="20" w:type="dxa"/>
            <w:vAlign w:val="bottom"/>
          </w:tcPr>
          <w:p>
            <w:pPr>
              <w:spacing w:after="0"/>
              <w:rPr>
                <w:sz w:val="18"/>
                <w:szCs w:val="18"/>
                <w:color w:val="auto"/>
              </w:rPr>
            </w:pPr>
          </w:p>
        </w:tc>
      </w:tr>
      <w:tr>
        <w:trPr>
          <w:trHeight w:val="223"/>
        </w:trPr>
        <w:tc>
          <w:tcPr>
            <w:tcW w:w="34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Municipal bonds</w:t>
            </w: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shd w:val="clear" w:color="auto" w:fill="CCEEFF"/>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15,956</w:t>
            </w: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55"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shd w:val="clear" w:color="auto" w:fill="CCEEFF"/>
              </w:rPr>
              <w:t>$</w:t>
            </w:r>
          </w:p>
        </w:tc>
        <w:tc>
          <w:tcPr>
            <w:tcW w:w="1145" w:type="dxa"/>
            <w:vAlign w:val="bottom"/>
            <w:tcBorders>
              <w:top w:val="single" w:sz="8" w:color="auto"/>
            </w:tcBorders>
            <w:shd w:val="clear" w:color="auto" w:fill="CCEEFF"/>
          </w:tcPr>
          <w:p>
            <w:pPr>
              <w:ind w:left="885"/>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shd w:val="clear" w:color="auto" w:fill="CCEEFF"/>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shd w:val="clear" w:color="auto" w:fill="CCEEFF"/>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15,680</w:t>
            </w:r>
          </w:p>
        </w:tc>
        <w:tc>
          <w:tcPr>
            <w:tcW w:w="20" w:type="dxa"/>
            <w:vAlign w:val="bottom"/>
          </w:tcPr>
          <w:p>
            <w:pPr>
              <w:spacing w:after="0"/>
              <w:rPr>
                <w:sz w:val="19"/>
                <w:szCs w:val="19"/>
                <w:color w:val="auto"/>
              </w:rPr>
            </w:pPr>
          </w:p>
        </w:tc>
      </w:tr>
      <w:tr>
        <w:trPr>
          <w:trHeight w:val="229"/>
        </w:trPr>
        <w:tc>
          <w:tcPr>
            <w:tcW w:w="3440" w:type="dxa"/>
            <w:vAlign w:val="bottom"/>
          </w:tcPr>
          <w:p>
            <w:pPr>
              <w:ind w:left="40"/>
              <w:spacing w:after="0"/>
              <w:rPr>
                <w:sz w:val="20"/>
                <w:szCs w:val="20"/>
                <w:color w:val="auto"/>
              </w:rPr>
            </w:pPr>
            <w:r>
              <w:rPr>
                <w:rFonts w:ascii="Arial" w:cs="Arial" w:eastAsia="Arial" w:hAnsi="Arial"/>
                <w:sz w:val="18"/>
                <w:szCs w:val="18"/>
                <w:color w:val="auto"/>
              </w:rPr>
              <w:t>Commercial paper</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33,058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5" w:type="dxa"/>
            <w:vAlign w:val="bottom"/>
          </w:tcPr>
          <w:p>
            <w:pPr>
              <w:spacing w:after="0"/>
              <w:rPr>
                <w:sz w:val="19"/>
                <w:szCs w:val="19"/>
                <w:color w:val="auto"/>
              </w:rPr>
            </w:pPr>
          </w:p>
        </w:tc>
        <w:tc>
          <w:tcPr>
            <w:tcW w:w="1305" w:type="dxa"/>
            <w:vAlign w:val="bottom"/>
            <w:gridSpan w:val="4"/>
          </w:tcPr>
          <w:p>
            <w:pPr>
              <w:ind w:left="885"/>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33,005</w:t>
            </w:r>
          </w:p>
        </w:tc>
        <w:tc>
          <w:tcPr>
            <w:tcW w:w="20" w:type="dxa"/>
            <w:vAlign w:val="bottom"/>
          </w:tcPr>
          <w:p>
            <w:pPr>
              <w:spacing w:after="0"/>
              <w:rPr>
                <w:sz w:val="19"/>
                <w:szCs w:val="19"/>
                <w:color w:val="auto"/>
              </w:rPr>
            </w:pPr>
          </w:p>
        </w:tc>
      </w:tr>
      <w:tr>
        <w:trPr>
          <w:trHeight w:val="230"/>
        </w:trPr>
        <w:tc>
          <w:tcPr>
            <w:tcW w:w="3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Corporate bonds</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81,218</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5" w:type="dxa"/>
            <w:vAlign w:val="bottom"/>
            <w:shd w:val="clear" w:color="auto" w:fill="CCEEFF"/>
          </w:tcPr>
          <w:p>
            <w:pPr>
              <w:spacing w:after="0"/>
              <w:rPr>
                <w:sz w:val="19"/>
                <w:szCs w:val="19"/>
                <w:color w:val="auto"/>
              </w:rPr>
            </w:pPr>
          </w:p>
        </w:tc>
        <w:tc>
          <w:tcPr>
            <w:tcW w:w="1145" w:type="dxa"/>
            <w:vAlign w:val="bottom"/>
            <w:shd w:val="clear" w:color="auto" w:fill="CCEEFF"/>
          </w:tcPr>
          <w:p>
            <w:pPr>
              <w:ind w:left="885"/>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79,509</w:t>
            </w:r>
          </w:p>
        </w:tc>
        <w:tc>
          <w:tcPr>
            <w:tcW w:w="20" w:type="dxa"/>
            <w:vAlign w:val="bottom"/>
          </w:tcPr>
          <w:p>
            <w:pPr>
              <w:spacing w:after="0"/>
              <w:rPr>
                <w:sz w:val="19"/>
                <w:szCs w:val="19"/>
                <w:color w:val="auto"/>
              </w:rPr>
            </w:pPr>
          </w:p>
        </w:tc>
      </w:tr>
      <w:tr>
        <w:trPr>
          <w:trHeight w:val="230"/>
        </w:trPr>
        <w:tc>
          <w:tcPr>
            <w:tcW w:w="3440" w:type="dxa"/>
            <w:vAlign w:val="bottom"/>
          </w:tcPr>
          <w:p>
            <w:pPr>
              <w:ind w:left="40"/>
              <w:spacing w:after="0"/>
              <w:rPr>
                <w:sz w:val="20"/>
                <w:szCs w:val="20"/>
                <w:color w:val="auto"/>
              </w:rPr>
            </w:pPr>
            <w:r>
              <w:rPr>
                <w:rFonts w:ascii="Arial" w:cs="Arial" w:eastAsia="Arial" w:hAnsi="Arial"/>
                <w:sz w:val="18"/>
                <w:szCs w:val="18"/>
                <w:color w:val="auto"/>
              </w:rPr>
              <w:t>US government and agency obligations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19,111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5" w:type="dxa"/>
            <w:vAlign w:val="bottom"/>
          </w:tcPr>
          <w:p>
            <w:pPr>
              <w:spacing w:after="0"/>
              <w:rPr>
                <w:sz w:val="19"/>
                <w:szCs w:val="19"/>
                <w:color w:val="auto"/>
              </w:rPr>
            </w:pPr>
          </w:p>
        </w:tc>
        <w:tc>
          <w:tcPr>
            <w:tcW w:w="1305" w:type="dxa"/>
            <w:vAlign w:val="bottom"/>
            <w:gridSpan w:val="4"/>
          </w:tcPr>
          <w:p>
            <w:pPr>
              <w:ind w:left="885"/>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205</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18,906</w:t>
            </w:r>
          </w:p>
        </w:tc>
        <w:tc>
          <w:tcPr>
            <w:tcW w:w="20" w:type="dxa"/>
            <w:vAlign w:val="bottom"/>
          </w:tcPr>
          <w:p>
            <w:pPr>
              <w:spacing w:after="0"/>
              <w:rPr>
                <w:sz w:val="19"/>
                <w:szCs w:val="19"/>
                <w:color w:val="auto"/>
              </w:rPr>
            </w:pPr>
          </w:p>
        </w:tc>
      </w:tr>
      <w:tr>
        <w:trPr>
          <w:trHeight w:val="230"/>
        </w:trPr>
        <w:tc>
          <w:tcPr>
            <w:tcW w:w="3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Asset backed securities</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13,403</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5" w:type="dxa"/>
            <w:vAlign w:val="bottom"/>
            <w:shd w:val="clear" w:color="auto" w:fill="CCEEFF"/>
          </w:tcPr>
          <w:p>
            <w:pPr>
              <w:spacing w:after="0"/>
              <w:rPr>
                <w:sz w:val="19"/>
                <w:szCs w:val="19"/>
                <w:color w:val="auto"/>
              </w:rPr>
            </w:pPr>
          </w:p>
        </w:tc>
        <w:tc>
          <w:tcPr>
            <w:tcW w:w="1145" w:type="dxa"/>
            <w:vAlign w:val="bottom"/>
            <w:shd w:val="clear" w:color="auto" w:fill="CCEEFF"/>
          </w:tcPr>
          <w:p>
            <w:pPr>
              <w:ind w:left="885"/>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13,063</w:t>
            </w:r>
          </w:p>
        </w:tc>
        <w:tc>
          <w:tcPr>
            <w:tcW w:w="20" w:type="dxa"/>
            <w:vAlign w:val="bottom"/>
          </w:tcPr>
          <w:p>
            <w:pPr>
              <w:spacing w:after="0"/>
              <w:rPr>
                <w:sz w:val="19"/>
                <w:szCs w:val="19"/>
                <w:color w:val="auto"/>
              </w:rPr>
            </w:pPr>
          </w:p>
        </w:tc>
      </w:tr>
      <w:tr>
        <w:trPr>
          <w:trHeight w:val="229"/>
        </w:trPr>
        <w:tc>
          <w:tcPr>
            <w:tcW w:w="3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Treasury bills</w:t>
            </w: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40,644</w:t>
            </w: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55" w:type="dxa"/>
            <w:vAlign w:val="bottom"/>
            <w:tcBorders>
              <w:bottom w:val="single" w:sz="8" w:color="auto"/>
            </w:tcBorders>
          </w:tcPr>
          <w:p>
            <w:pPr>
              <w:spacing w:after="0"/>
              <w:rPr>
                <w:sz w:val="19"/>
                <w:szCs w:val="19"/>
                <w:color w:val="auto"/>
              </w:rPr>
            </w:pPr>
          </w:p>
        </w:tc>
        <w:tc>
          <w:tcPr>
            <w:tcW w:w="1145" w:type="dxa"/>
            <w:vAlign w:val="bottom"/>
            <w:tcBorders>
              <w:bottom w:val="single" w:sz="8" w:color="auto"/>
            </w:tcBorders>
          </w:tcPr>
          <w:p>
            <w:pPr>
              <w:ind w:left="885"/>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gridSpan w:val="2"/>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4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40,551</w:t>
            </w:r>
          </w:p>
        </w:tc>
        <w:tc>
          <w:tcPr>
            <w:tcW w:w="20" w:type="dxa"/>
            <w:vAlign w:val="bottom"/>
          </w:tcPr>
          <w:p>
            <w:pPr>
              <w:spacing w:after="0"/>
              <w:rPr>
                <w:sz w:val="19"/>
                <w:szCs w:val="19"/>
                <w:color w:val="auto"/>
              </w:rPr>
            </w:pPr>
          </w:p>
        </w:tc>
      </w:tr>
      <w:tr>
        <w:trPr>
          <w:trHeight w:val="223"/>
        </w:trPr>
        <w:tc>
          <w:tcPr>
            <w:tcW w:w="3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current investment securities</w:t>
            </w:r>
          </w:p>
        </w:tc>
        <w:tc>
          <w:tcPr>
            <w:tcW w:w="20" w:type="dxa"/>
            <w:vAlign w:val="bottom"/>
            <w:shd w:val="clear" w:color="auto" w:fill="CCEEFF"/>
          </w:tcPr>
          <w:p>
            <w:pPr>
              <w:spacing w:after="0"/>
              <w:rPr>
                <w:sz w:val="19"/>
                <w:szCs w:val="19"/>
                <w:color w:val="auto"/>
              </w:rPr>
            </w:pPr>
          </w:p>
        </w:tc>
        <w:tc>
          <w:tcPr>
            <w:tcW w:w="160" w:type="dxa"/>
            <w:vAlign w:val="bottom"/>
            <w:gridSpan w:val="2"/>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shd w:val="clear" w:color="auto" w:fill="CCEEFF"/>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203,390</w:t>
            </w: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gridSpan w:val="2"/>
            <w:shd w:val="clear" w:color="auto" w:fill="CCEEFF"/>
          </w:tcPr>
          <w:p>
            <w:pPr>
              <w:spacing w:after="0"/>
              <w:rPr>
                <w:sz w:val="19"/>
                <w:szCs w:val="19"/>
                <w:color w:val="auto"/>
              </w:rPr>
            </w:pPr>
          </w:p>
        </w:tc>
        <w:tc>
          <w:tcPr>
            <w:tcW w:w="155"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shd w:val="clear" w:color="auto" w:fill="CCEEFF"/>
              </w:rPr>
              <w:t>$</w:t>
            </w:r>
          </w:p>
        </w:tc>
        <w:tc>
          <w:tcPr>
            <w:tcW w:w="1145" w:type="dxa"/>
            <w:vAlign w:val="bottom"/>
            <w:tcBorders>
              <w:bottom w:val="single" w:sz="8" w:color="auto"/>
            </w:tcBorders>
            <w:shd w:val="clear" w:color="auto" w:fill="CCEEFF"/>
          </w:tcPr>
          <w:p>
            <w:pPr>
              <w:ind w:left="885"/>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shd w:val="clear" w:color="auto" w:fill="CCEEFF"/>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2,676</w:t>
            </w:r>
          </w:p>
        </w:tc>
        <w:tc>
          <w:tcPr>
            <w:tcW w:w="160" w:type="dxa"/>
            <w:vAlign w:val="bottom"/>
            <w:gridSpan w:val="2"/>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shd w:val="clear" w:color="auto" w:fill="CCEEFF"/>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200,714</w:t>
            </w:r>
          </w:p>
        </w:tc>
        <w:tc>
          <w:tcPr>
            <w:tcW w:w="20" w:type="dxa"/>
            <w:vAlign w:val="bottom"/>
            <w:tcBorders>
              <w:bottom w:val="single" w:sz="8" w:color="auto"/>
            </w:tcBorders>
          </w:tcPr>
          <w:p>
            <w:pPr>
              <w:spacing w:after="0"/>
              <w:rPr>
                <w:sz w:val="19"/>
                <w:szCs w:val="19"/>
                <w:color w:val="auto"/>
              </w:rPr>
            </w:pPr>
          </w:p>
        </w:tc>
      </w:tr>
      <w:tr>
        <w:trPr>
          <w:trHeight w:val="20"/>
        </w:trPr>
        <w:tc>
          <w:tcPr>
            <w:tcW w:w="34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55" w:type="dxa"/>
            <w:vAlign w:val="bottom"/>
            <w:tcBorders>
              <w:bottom w:val="single" w:sz="8" w:color="auto"/>
            </w:tcBorders>
          </w:tcPr>
          <w:p>
            <w:pPr>
              <w:spacing w:after="0" w:line="20" w:lineRule="exact"/>
              <w:rPr>
                <w:sz w:val="1"/>
                <w:szCs w:val="1"/>
                <w:color w:val="auto"/>
              </w:rPr>
            </w:pPr>
          </w:p>
        </w:tc>
        <w:tc>
          <w:tcPr>
            <w:tcW w:w="1145"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69"/>
        </w:trPr>
        <w:tc>
          <w:tcPr>
            <w:tcW w:w="3440" w:type="dxa"/>
            <w:vAlign w:val="bottom"/>
          </w:tcPr>
          <w:p>
            <w:pPr>
              <w:spacing w:after="0"/>
              <w:rPr>
                <w:sz w:val="14"/>
                <w:szCs w:val="14"/>
                <w:color w:val="auto"/>
              </w:rPr>
            </w:pPr>
          </w:p>
        </w:tc>
        <w:tc>
          <w:tcPr>
            <w:tcW w:w="180" w:type="dxa"/>
            <w:vAlign w:val="bottom"/>
            <w:gridSpan w:val="3"/>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gridSpan w:val="3"/>
          </w:tcPr>
          <w:p>
            <w:pPr>
              <w:spacing w:after="0"/>
              <w:rPr>
                <w:sz w:val="14"/>
                <w:szCs w:val="14"/>
                <w:color w:val="auto"/>
              </w:rPr>
            </w:pPr>
          </w:p>
        </w:tc>
        <w:tc>
          <w:tcPr>
            <w:tcW w:w="155" w:type="dxa"/>
            <w:vAlign w:val="bottom"/>
          </w:tcPr>
          <w:p>
            <w:pPr>
              <w:spacing w:after="0"/>
              <w:rPr>
                <w:sz w:val="14"/>
                <w:szCs w:val="14"/>
                <w:color w:val="auto"/>
              </w:rPr>
            </w:pPr>
          </w:p>
        </w:tc>
        <w:tc>
          <w:tcPr>
            <w:tcW w:w="1145" w:type="dxa"/>
            <w:vAlign w:val="bottom"/>
          </w:tcPr>
          <w:p>
            <w:pPr>
              <w:spacing w:after="0"/>
              <w:rPr>
                <w:sz w:val="14"/>
                <w:szCs w:val="14"/>
                <w:color w:val="auto"/>
              </w:rPr>
            </w:pPr>
          </w:p>
        </w:tc>
        <w:tc>
          <w:tcPr>
            <w:tcW w:w="160" w:type="dxa"/>
            <w:vAlign w:val="bottom"/>
            <w:gridSpan w:val="3"/>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6"/>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Mutual funds</w:t>
            </w:r>
          </w:p>
        </w:tc>
        <w:tc>
          <w:tcPr>
            <w:tcW w:w="160" w:type="dxa"/>
            <w:vAlign w:val="bottom"/>
            <w:tcBorders>
              <w:bottom w:val="single" w:sz="8" w:color="CCEEFF"/>
            </w:tcBorders>
            <w:gridSpan w:val="2"/>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shd w:val="clear" w:color="auto" w:fill="CCEEFF"/>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3,472</w:t>
            </w:r>
          </w:p>
        </w:tc>
        <w:tc>
          <w:tcPr>
            <w:tcW w:w="140" w:type="dxa"/>
            <w:vAlign w:val="bottom"/>
            <w:tcBorders>
              <w:bottom w:val="single" w:sz="8" w:color="CCEEFF"/>
            </w:tcBorders>
            <w:gridSpan w:val="2"/>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55"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shd w:val="clear" w:color="auto" w:fill="CCEEFF"/>
              </w:rPr>
              <w:t>$</w:t>
            </w:r>
          </w:p>
        </w:tc>
        <w:tc>
          <w:tcPr>
            <w:tcW w:w="1145" w:type="dxa"/>
            <w:vAlign w:val="bottom"/>
            <w:tcBorders>
              <w:bottom w:val="single" w:sz="8" w:color="auto"/>
            </w:tcBorders>
            <w:shd w:val="clear" w:color="auto" w:fill="CCEEFF"/>
          </w:tcPr>
          <w:p>
            <w:pPr>
              <w:ind w:left="885"/>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auto"/>
            </w:tcBorders>
            <w:gridSpan w:val="2"/>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shd w:val="clear" w:color="auto" w:fill="CCEEFF"/>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114</w:t>
            </w: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shd w:val="clear" w:color="auto" w:fill="CCEEFF"/>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3,358</w:t>
            </w:r>
          </w:p>
        </w:tc>
        <w:tc>
          <w:tcPr>
            <w:tcW w:w="20" w:type="dxa"/>
            <w:vAlign w:val="bottom"/>
          </w:tcPr>
          <w:p>
            <w:pPr>
              <w:spacing w:after="0"/>
              <w:rPr>
                <w:sz w:val="18"/>
                <w:szCs w:val="18"/>
                <w:color w:val="auto"/>
              </w:rPr>
            </w:pPr>
          </w:p>
        </w:tc>
      </w:tr>
      <w:tr>
        <w:trPr>
          <w:trHeight w:val="223"/>
        </w:trPr>
        <w:tc>
          <w:tcPr>
            <w:tcW w:w="3440" w:type="dxa"/>
            <w:vAlign w:val="bottom"/>
          </w:tcPr>
          <w:p>
            <w:pPr>
              <w:ind w:left="40"/>
              <w:spacing w:after="0"/>
              <w:rPr>
                <w:sz w:val="20"/>
                <w:szCs w:val="20"/>
                <w:color w:val="auto"/>
              </w:rPr>
            </w:pPr>
            <w:r>
              <w:rPr>
                <w:rFonts w:ascii="Arial" w:cs="Arial" w:eastAsia="Arial" w:hAnsi="Arial"/>
                <w:sz w:val="18"/>
                <w:szCs w:val="18"/>
                <w:color w:val="auto"/>
              </w:rPr>
              <w:t>Total noncurrent investment securities</w:t>
            </w:r>
          </w:p>
        </w:tc>
        <w:tc>
          <w:tcPr>
            <w:tcW w:w="3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3,472</w:t>
            </w:r>
          </w:p>
        </w:tc>
        <w:tc>
          <w:tcPr>
            <w:tcW w:w="315"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305" w:type="dxa"/>
            <w:vAlign w:val="bottom"/>
            <w:gridSpan w:val="4"/>
          </w:tcPr>
          <w:p>
            <w:pPr>
              <w:ind w:left="885"/>
              <w:spacing w:after="0"/>
              <w:rPr>
                <w:sz w:val="20"/>
                <w:szCs w:val="20"/>
                <w:color w:val="auto"/>
              </w:rPr>
            </w:pPr>
            <w:r>
              <w:rPr>
                <w:rFonts w:ascii="Arial" w:cs="Arial" w:eastAsia="Arial" w:hAnsi="Arial"/>
                <w:sz w:val="18"/>
                <w:szCs w:val="18"/>
                <w:color w:val="auto"/>
              </w:rPr>
              <w:t>—</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114</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3,358</w:t>
            </w:r>
          </w:p>
        </w:tc>
        <w:tc>
          <w:tcPr>
            <w:tcW w:w="20" w:type="dxa"/>
            <w:vAlign w:val="bottom"/>
          </w:tcPr>
          <w:p>
            <w:pPr>
              <w:spacing w:after="0"/>
              <w:rPr>
                <w:sz w:val="19"/>
                <w:szCs w:val="19"/>
                <w:color w:val="auto"/>
              </w:rPr>
            </w:pPr>
          </w:p>
        </w:tc>
      </w:tr>
      <w:tr>
        <w:trPr>
          <w:trHeight w:val="20"/>
        </w:trPr>
        <w:tc>
          <w:tcPr>
            <w:tcW w:w="3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55" w:type="dxa"/>
            <w:vAlign w:val="bottom"/>
            <w:tcBorders>
              <w:top w:val="single" w:sz="8" w:color="auto"/>
              <w:bottom w:val="single" w:sz="8" w:color="auto"/>
            </w:tcBorders>
          </w:tcPr>
          <w:p>
            <w:pPr>
              <w:spacing w:after="0" w:line="20" w:lineRule="exact"/>
              <w:rPr>
                <w:sz w:val="1"/>
                <w:szCs w:val="1"/>
                <w:color w:val="auto"/>
              </w:rPr>
            </w:pPr>
          </w:p>
        </w:tc>
        <w:tc>
          <w:tcPr>
            <w:tcW w:w="1145"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340"/>
          </w:cols>
          <w:pgMar w:left="1280" w:top="315"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9340"/>
          </w:cols>
          <w:pgMar w:left="1280" w:top="315" w:right="1279"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3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gridSpan w:val="2"/>
          </w:tcPr>
          <w:p>
            <w:pPr>
              <w:spacing w:after="0"/>
              <w:rPr>
                <w:sz w:val="20"/>
                <w:szCs w:val="20"/>
                <w:color w:val="auto"/>
              </w:rPr>
            </w:pPr>
            <w:r>
              <w:rPr>
                <w:rFonts w:ascii="Arial" w:cs="Arial" w:eastAsia="Arial" w:hAnsi="Arial"/>
                <w:sz w:val="18"/>
                <w:szCs w:val="18"/>
                <w:color w:val="0000FF"/>
                <w:w w:val="95"/>
              </w:rPr>
              <w:t>Index</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5" w:type="dxa"/>
            <w:vAlign w:val="bottom"/>
          </w:tcPr>
          <w:p>
            <w:pPr>
              <w:spacing w:after="0"/>
              <w:rPr>
                <w:sz w:val="17"/>
                <w:szCs w:val="17"/>
                <w:color w:val="auto"/>
              </w:rPr>
            </w:pPr>
          </w:p>
        </w:tc>
        <w:tc>
          <w:tcPr>
            <w:tcW w:w="1145"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3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5" w:type="dxa"/>
            <w:vAlign w:val="bottom"/>
          </w:tcPr>
          <w:p>
            <w:pPr>
              <w:spacing w:after="0" w:line="20" w:lineRule="exact"/>
              <w:rPr>
                <w:sz w:val="1"/>
                <w:szCs w:val="1"/>
                <w:color w:val="auto"/>
              </w:rPr>
            </w:pPr>
          </w:p>
        </w:tc>
        <w:tc>
          <w:tcPr>
            <w:tcW w:w="1305"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17"/>
        </w:trPr>
        <w:tc>
          <w:tcPr>
            <w:tcW w:w="3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3"/>
          </w:tcPr>
          <w:p>
            <w:pPr>
              <w:jc w:val="center"/>
              <w:ind w:right="120"/>
              <w:spacing w:after="0"/>
              <w:rPr>
                <w:sz w:val="20"/>
                <w:szCs w:val="20"/>
                <w:color w:val="auto"/>
              </w:rPr>
            </w:pPr>
            <w:r>
              <w:rPr>
                <w:rFonts w:ascii="Arial" w:cs="Arial" w:eastAsia="Arial" w:hAnsi="Arial"/>
                <w:sz w:val="18"/>
                <w:szCs w:val="18"/>
                <w:color w:val="auto"/>
                <w:w w:val="93"/>
              </w:rPr>
              <w:t>Amortized</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5" w:type="dxa"/>
            <w:vAlign w:val="bottom"/>
          </w:tcPr>
          <w:p>
            <w:pPr>
              <w:spacing w:after="0"/>
              <w:rPr>
                <w:sz w:val="24"/>
                <w:szCs w:val="24"/>
                <w:color w:val="auto"/>
              </w:rPr>
            </w:pPr>
          </w:p>
        </w:tc>
        <w:tc>
          <w:tcPr>
            <w:tcW w:w="1305" w:type="dxa"/>
            <w:vAlign w:val="bottom"/>
            <w:gridSpan w:val="5"/>
          </w:tcPr>
          <w:p>
            <w:pPr>
              <w:jc w:val="center"/>
              <w:ind w:right="315"/>
              <w:spacing w:after="0"/>
              <w:rPr>
                <w:sz w:val="20"/>
                <w:szCs w:val="20"/>
                <w:color w:val="auto"/>
              </w:rPr>
            </w:pPr>
            <w:r>
              <w:rPr>
                <w:rFonts w:ascii="Arial" w:cs="Arial" w:eastAsia="Arial" w:hAnsi="Arial"/>
                <w:sz w:val="18"/>
                <w:szCs w:val="18"/>
                <w:color w:val="auto"/>
                <w:w w:val="90"/>
              </w:rPr>
              <w:t>Unrealized</w:t>
            </w:r>
          </w:p>
        </w:tc>
        <w:tc>
          <w:tcPr>
            <w:tcW w:w="140" w:type="dxa"/>
            <w:vAlign w:val="bottom"/>
          </w:tcPr>
          <w:p>
            <w:pPr>
              <w:spacing w:after="0"/>
              <w:rPr>
                <w:sz w:val="24"/>
                <w:szCs w:val="24"/>
                <w:color w:val="auto"/>
              </w:rPr>
            </w:pPr>
          </w:p>
        </w:tc>
        <w:tc>
          <w:tcPr>
            <w:tcW w:w="1140" w:type="dxa"/>
            <w:vAlign w:val="bottom"/>
          </w:tcPr>
          <w:p>
            <w:pPr>
              <w:jc w:val="right"/>
              <w:ind w:right="170"/>
              <w:spacing w:after="0"/>
              <w:rPr>
                <w:sz w:val="20"/>
                <w:szCs w:val="20"/>
                <w:color w:val="auto"/>
              </w:rPr>
            </w:pPr>
            <w:r>
              <w:rPr>
                <w:rFonts w:ascii="Arial" w:cs="Arial" w:eastAsia="Arial" w:hAnsi="Arial"/>
                <w:sz w:val="18"/>
                <w:szCs w:val="18"/>
                <w:color w:val="auto"/>
                <w:w w:val="99"/>
              </w:rPr>
              <w:t>Unrealized</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jc w:val="right"/>
              <w:ind w:right="190"/>
              <w:spacing w:after="0"/>
              <w:rPr>
                <w:sz w:val="20"/>
                <w:szCs w:val="20"/>
                <w:color w:val="auto"/>
              </w:rPr>
            </w:pPr>
            <w:r>
              <w:rPr>
                <w:rFonts w:ascii="Arial" w:cs="Arial" w:eastAsia="Arial" w:hAnsi="Arial"/>
                <w:sz w:val="18"/>
                <w:szCs w:val="18"/>
                <w:color w:val="auto"/>
              </w:rPr>
              <w:t>Estimated</w:t>
            </w:r>
          </w:p>
        </w:tc>
        <w:tc>
          <w:tcPr>
            <w:tcW w:w="20" w:type="dxa"/>
            <w:vAlign w:val="bottom"/>
          </w:tcPr>
          <w:p>
            <w:pPr>
              <w:spacing w:after="0"/>
              <w:rPr>
                <w:sz w:val="24"/>
                <w:szCs w:val="24"/>
                <w:color w:val="auto"/>
              </w:rPr>
            </w:pPr>
          </w:p>
        </w:tc>
      </w:tr>
      <w:tr>
        <w:trPr>
          <w:trHeight w:val="216"/>
        </w:trPr>
        <w:tc>
          <w:tcPr>
            <w:tcW w:w="3440" w:type="dxa"/>
            <w:vAlign w:val="bottom"/>
          </w:tcPr>
          <w:p>
            <w:pPr>
              <w:ind w:left="40"/>
              <w:spacing w:after="0"/>
              <w:rPr>
                <w:sz w:val="20"/>
                <w:szCs w:val="20"/>
                <w:color w:val="auto"/>
              </w:rPr>
            </w:pPr>
            <w:r>
              <w:rPr>
                <w:rFonts w:ascii="Arial" w:cs="Arial" w:eastAsia="Arial" w:hAnsi="Arial"/>
                <w:sz w:val="18"/>
                <w:szCs w:val="18"/>
                <w:color w:val="auto"/>
              </w:rPr>
              <w:t>May 28, 2022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center"/>
              <w:ind w:right="120"/>
              <w:spacing w:after="0"/>
              <w:rPr>
                <w:sz w:val="20"/>
                <w:szCs w:val="20"/>
                <w:color w:val="auto"/>
              </w:rPr>
            </w:pPr>
            <w:r>
              <w:rPr>
                <w:rFonts w:ascii="Arial" w:cs="Arial" w:eastAsia="Arial" w:hAnsi="Arial"/>
                <w:sz w:val="18"/>
                <w:szCs w:val="18"/>
                <w:color w:val="auto"/>
                <w:w w:val="86"/>
              </w:rPr>
              <w:t>Cost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5" w:type="dxa"/>
            <w:vAlign w:val="bottom"/>
          </w:tcPr>
          <w:p>
            <w:pPr>
              <w:spacing w:after="0"/>
              <w:rPr>
                <w:sz w:val="18"/>
                <w:szCs w:val="18"/>
                <w:color w:val="auto"/>
              </w:rPr>
            </w:pPr>
          </w:p>
        </w:tc>
        <w:tc>
          <w:tcPr>
            <w:tcW w:w="1305" w:type="dxa"/>
            <w:vAlign w:val="bottom"/>
            <w:gridSpan w:val="5"/>
          </w:tcPr>
          <w:p>
            <w:pPr>
              <w:jc w:val="center"/>
              <w:ind w:right="315"/>
              <w:spacing w:after="0"/>
              <w:rPr>
                <w:sz w:val="20"/>
                <w:szCs w:val="20"/>
                <w:color w:val="auto"/>
              </w:rPr>
            </w:pPr>
            <w:r>
              <w:rPr>
                <w:rFonts w:ascii="Arial" w:cs="Arial" w:eastAsia="Arial" w:hAnsi="Arial"/>
                <w:sz w:val="18"/>
                <w:szCs w:val="18"/>
                <w:color w:val="auto"/>
                <w:w w:val="89"/>
              </w:rPr>
              <w:t>Gains</w:t>
            </w:r>
          </w:p>
        </w:tc>
        <w:tc>
          <w:tcPr>
            <w:tcW w:w="140" w:type="dxa"/>
            <w:vAlign w:val="bottom"/>
          </w:tcPr>
          <w:p>
            <w:pPr>
              <w:spacing w:after="0"/>
              <w:rPr>
                <w:sz w:val="18"/>
                <w:szCs w:val="18"/>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color w:val="auto"/>
              </w:rPr>
              <w:t>Losses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ind w:right="190"/>
              <w:spacing w:after="0"/>
              <w:rPr>
                <w:sz w:val="20"/>
                <w:szCs w:val="20"/>
                <w:color w:val="auto"/>
              </w:rPr>
            </w:pPr>
            <w:r>
              <w:rPr>
                <w:rFonts w:ascii="Arial" w:cs="Arial" w:eastAsia="Arial" w:hAnsi="Arial"/>
                <w:sz w:val="18"/>
                <w:szCs w:val="18"/>
                <w:color w:val="auto"/>
              </w:rPr>
              <w:t>Fair Value</w:t>
            </w:r>
          </w:p>
        </w:tc>
        <w:tc>
          <w:tcPr>
            <w:tcW w:w="20" w:type="dxa"/>
            <w:vAlign w:val="bottom"/>
          </w:tcPr>
          <w:p>
            <w:pPr>
              <w:spacing w:after="0"/>
              <w:rPr>
                <w:sz w:val="18"/>
                <w:szCs w:val="18"/>
                <w:color w:val="auto"/>
              </w:rPr>
            </w:pPr>
          </w:p>
        </w:tc>
      </w:tr>
      <w:tr>
        <w:trPr>
          <w:trHeight w:val="223"/>
        </w:trPr>
        <w:tc>
          <w:tcPr>
            <w:tcW w:w="34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Municipal bonds</w:t>
            </w: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shd w:val="clear" w:color="auto" w:fill="CCEEFF"/>
              </w:rPr>
              <w:t>$</w:t>
            </w: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10,136</w:t>
            </w:r>
          </w:p>
        </w:tc>
        <w:tc>
          <w:tcPr>
            <w:tcW w:w="4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55"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shd w:val="clear" w:color="auto" w:fill="CCEEFF"/>
              </w:rPr>
              <w:t>$</w:t>
            </w:r>
          </w:p>
        </w:tc>
        <w:tc>
          <w:tcPr>
            <w:tcW w:w="1145"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shd w:val="clear" w:color="auto" w:fill="CCEEFF"/>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shd w:val="clear" w:color="auto" w:fill="CCEEFF"/>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10,104</w:t>
            </w:r>
          </w:p>
        </w:tc>
        <w:tc>
          <w:tcPr>
            <w:tcW w:w="20" w:type="dxa"/>
            <w:vAlign w:val="bottom"/>
          </w:tcPr>
          <w:p>
            <w:pPr>
              <w:spacing w:after="0"/>
              <w:rPr>
                <w:sz w:val="19"/>
                <w:szCs w:val="19"/>
                <w:color w:val="auto"/>
              </w:rPr>
            </w:pPr>
          </w:p>
        </w:tc>
      </w:tr>
      <w:tr>
        <w:trPr>
          <w:trHeight w:val="229"/>
        </w:trPr>
        <w:tc>
          <w:tcPr>
            <w:tcW w:w="3440" w:type="dxa"/>
            <w:vAlign w:val="bottom"/>
          </w:tcPr>
          <w:p>
            <w:pPr>
              <w:ind w:left="40"/>
              <w:spacing w:after="0"/>
              <w:rPr>
                <w:sz w:val="20"/>
                <w:szCs w:val="20"/>
                <w:color w:val="auto"/>
              </w:rPr>
            </w:pPr>
            <w:r>
              <w:rPr>
                <w:rFonts w:ascii="Arial" w:cs="Arial" w:eastAsia="Arial" w:hAnsi="Arial"/>
                <w:sz w:val="18"/>
                <w:szCs w:val="18"/>
                <w:color w:val="auto"/>
              </w:rPr>
              <w:t>Commercial paper</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14,940</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5" w:type="dxa"/>
            <w:vAlign w:val="bottom"/>
          </w:tcPr>
          <w:p>
            <w:pPr>
              <w:spacing w:after="0"/>
              <w:rPr>
                <w:sz w:val="19"/>
                <w:szCs w:val="19"/>
                <w:color w:val="auto"/>
              </w:rPr>
            </w:pPr>
          </w:p>
        </w:tc>
        <w:tc>
          <w:tcPr>
            <w:tcW w:w="1305" w:type="dxa"/>
            <w:vAlign w:val="bottom"/>
            <w:gridSpan w:val="5"/>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14,868</w:t>
            </w:r>
          </w:p>
        </w:tc>
        <w:tc>
          <w:tcPr>
            <w:tcW w:w="20" w:type="dxa"/>
            <w:vAlign w:val="bottom"/>
          </w:tcPr>
          <w:p>
            <w:pPr>
              <w:spacing w:after="0"/>
              <w:rPr>
                <w:sz w:val="19"/>
                <w:szCs w:val="19"/>
                <w:color w:val="auto"/>
              </w:rPr>
            </w:pPr>
          </w:p>
        </w:tc>
      </w:tr>
      <w:tr>
        <w:trPr>
          <w:trHeight w:val="230"/>
        </w:trPr>
        <w:tc>
          <w:tcPr>
            <w:tcW w:w="3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Corporate bonds</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74,167</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5" w:type="dxa"/>
            <w:vAlign w:val="bottom"/>
            <w:shd w:val="clear" w:color="auto" w:fill="CCEEFF"/>
          </w:tcPr>
          <w:p>
            <w:pPr>
              <w:spacing w:after="0"/>
              <w:rPr>
                <w:sz w:val="19"/>
                <w:szCs w:val="19"/>
                <w:color w:val="auto"/>
              </w:rPr>
            </w:pPr>
          </w:p>
        </w:tc>
        <w:tc>
          <w:tcPr>
            <w:tcW w:w="1145"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gridSpan w:val="2"/>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73,684</w:t>
            </w:r>
          </w:p>
        </w:tc>
        <w:tc>
          <w:tcPr>
            <w:tcW w:w="20" w:type="dxa"/>
            <w:vAlign w:val="bottom"/>
          </w:tcPr>
          <w:p>
            <w:pPr>
              <w:spacing w:after="0"/>
              <w:rPr>
                <w:sz w:val="19"/>
                <w:szCs w:val="19"/>
                <w:color w:val="auto"/>
              </w:rPr>
            </w:pPr>
          </w:p>
        </w:tc>
      </w:tr>
      <w:tr>
        <w:trPr>
          <w:trHeight w:val="229"/>
        </w:trPr>
        <w:tc>
          <w:tcPr>
            <w:tcW w:w="3440" w:type="dxa"/>
            <w:vAlign w:val="bottom"/>
          </w:tcPr>
          <w:p>
            <w:pPr>
              <w:ind w:left="40"/>
              <w:spacing w:after="0"/>
              <w:rPr>
                <w:sz w:val="20"/>
                <w:szCs w:val="20"/>
                <w:color w:val="auto"/>
              </w:rPr>
            </w:pPr>
            <w:r>
              <w:rPr>
                <w:rFonts w:ascii="Arial" w:cs="Arial" w:eastAsia="Arial" w:hAnsi="Arial"/>
                <w:sz w:val="18"/>
                <w:szCs w:val="18"/>
                <w:color w:val="auto"/>
              </w:rPr>
              <w:t>Certificates of deposits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1,263</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5" w:type="dxa"/>
            <w:vAlign w:val="bottom"/>
          </w:tcPr>
          <w:p>
            <w:pPr>
              <w:spacing w:after="0"/>
              <w:rPr>
                <w:sz w:val="19"/>
                <w:szCs w:val="19"/>
                <w:color w:val="auto"/>
              </w:rPr>
            </w:pPr>
          </w:p>
        </w:tc>
        <w:tc>
          <w:tcPr>
            <w:tcW w:w="1305" w:type="dxa"/>
            <w:vAlign w:val="bottom"/>
            <w:gridSpan w:val="5"/>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1,245</w:t>
            </w:r>
          </w:p>
        </w:tc>
        <w:tc>
          <w:tcPr>
            <w:tcW w:w="20" w:type="dxa"/>
            <w:vAlign w:val="bottom"/>
          </w:tcPr>
          <w:p>
            <w:pPr>
              <w:spacing w:after="0"/>
              <w:rPr>
                <w:sz w:val="19"/>
                <w:szCs w:val="19"/>
                <w:color w:val="auto"/>
              </w:rPr>
            </w:pPr>
          </w:p>
        </w:tc>
      </w:tr>
      <w:tr>
        <w:trPr>
          <w:trHeight w:val="230"/>
        </w:trPr>
        <w:tc>
          <w:tcPr>
            <w:tcW w:w="3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government and agency obligations</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2,205</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5" w:type="dxa"/>
            <w:vAlign w:val="bottom"/>
            <w:shd w:val="clear" w:color="auto" w:fill="CCEEFF"/>
          </w:tcPr>
          <w:p>
            <w:pPr>
              <w:spacing w:after="0"/>
              <w:rPr>
                <w:sz w:val="19"/>
                <w:szCs w:val="19"/>
                <w:color w:val="auto"/>
              </w:rPr>
            </w:pPr>
          </w:p>
        </w:tc>
        <w:tc>
          <w:tcPr>
            <w:tcW w:w="1145"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2,209</w:t>
            </w:r>
          </w:p>
        </w:tc>
        <w:tc>
          <w:tcPr>
            <w:tcW w:w="20" w:type="dxa"/>
            <w:vAlign w:val="bottom"/>
          </w:tcPr>
          <w:p>
            <w:pPr>
              <w:spacing w:after="0"/>
              <w:rPr>
                <w:sz w:val="19"/>
                <w:szCs w:val="19"/>
                <w:color w:val="auto"/>
              </w:rPr>
            </w:pPr>
          </w:p>
        </w:tc>
      </w:tr>
      <w:tr>
        <w:trPr>
          <w:trHeight w:val="236"/>
        </w:trPr>
        <w:tc>
          <w:tcPr>
            <w:tcW w:w="3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Asset backed securities</w:t>
            </w: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13,456</w:t>
            </w: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55" w:type="dxa"/>
            <w:vAlign w:val="bottom"/>
            <w:tcBorders>
              <w:bottom w:val="single" w:sz="8" w:color="auto"/>
            </w:tcBorders>
          </w:tcPr>
          <w:p>
            <w:pPr>
              <w:spacing w:after="0"/>
              <w:rPr>
                <w:sz w:val="20"/>
                <w:szCs w:val="20"/>
                <w:color w:val="auto"/>
              </w:rPr>
            </w:pPr>
          </w:p>
        </w:tc>
        <w:tc>
          <w:tcPr>
            <w:tcW w:w="1145"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gridSpan w:val="2"/>
          </w:tcPr>
          <w:p>
            <w:pPr>
              <w:spacing w:after="0"/>
              <w:rPr>
                <w:sz w:val="20"/>
                <w:szCs w:val="20"/>
                <w:color w:val="auto"/>
              </w:rPr>
            </w:pPr>
          </w:p>
        </w:tc>
        <w:tc>
          <w:tcPr>
            <w:tcW w:w="40" w:type="dxa"/>
            <w:vAlign w:val="bottom"/>
            <w:tcBorders>
              <w:bottom w:val="single" w:sz="8" w:color="auto"/>
            </w:tcBorders>
            <w:gridSpan w:val="2"/>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13,319</w:t>
            </w:r>
          </w:p>
        </w:tc>
        <w:tc>
          <w:tcPr>
            <w:tcW w:w="20" w:type="dxa"/>
            <w:vAlign w:val="bottom"/>
          </w:tcPr>
          <w:p>
            <w:pPr>
              <w:spacing w:after="0"/>
              <w:rPr>
                <w:sz w:val="20"/>
                <w:szCs w:val="20"/>
                <w:color w:val="auto"/>
              </w:rPr>
            </w:pPr>
          </w:p>
        </w:tc>
      </w:tr>
      <w:tr>
        <w:trPr>
          <w:trHeight w:val="216"/>
        </w:trPr>
        <w:tc>
          <w:tcPr>
            <w:tcW w:w="3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current investment securities</w:t>
            </w:r>
          </w:p>
        </w:tc>
        <w:tc>
          <w:tcPr>
            <w:tcW w:w="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shd w:val="clear" w:color="auto" w:fill="CCEEFF"/>
              </w:rPr>
              <w:t>$</w:t>
            </w: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116,167</w:t>
            </w:r>
          </w:p>
        </w:tc>
        <w:tc>
          <w:tcPr>
            <w:tcW w:w="4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gridSpan w:val="2"/>
            <w:shd w:val="clear" w:color="auto" w:fill="CCEEFF"/>
          </w:tcPr>
          <w:p>
            <w:pPr>
              <w:spacing w:after="0"/>
              <w:rPr>
                <w:sz w:val="18"/>
                <w:szCs w:val="18"/>
                <w:color w:val="auto"/>
              </w:rPr>
            </w:pPr>
          </w:p>
        </w:tc>
        <w:tc>
          <w:tcPr>
            <w:tcW w:w="155"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shd w:val="clear" w:color="auto" w:fill="CCEEFF"/>
              </w:rPr>
              <w:t>$</w:t>
            </w:r>
          </w:p>
        </w:tc>
        <w:tc>
          <w:tcPr>
            <w:tcW w:w="1145"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shd w:val="clear" w:color="auto" w:fill="CCEEFF"/>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gridSpan w:val="2"/>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shd w:val="clear" w:color="auto" w:fill="CCEEFF"/>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115,429</w:t>
            </w:r>
          </w:p>
        </w:tc>
        <w:tc>
          <w:tcPr>
            <w:tcW w:w="20" w:type="dxa"/>
            <w:vAlign w:val="bottom"/>
            <w:tcBorders>
              <w:bottom w:val="single" w:sz="8" w:color="auto"/>
            </w:tcBorders>
          </w:tcPr>
          <w:p>
            <w:pPr>
              <w:spacing w:after="0"/>
              <w:rPr>
                <w:sz w:val="18"/>
                <w:szCs w:val="18"/>
                <w:color w:val="auto"/>
              </w:rPr>
            </w:pPr>
          </w:p>
        </w:tc>
      </w:tr>
      <w:tr>
        <w:trPr>
          <w:trHeight w:val="20"/>
        </w:trPr>
        <w:tc>
          <w:tcPr>
            <w:tcW w:w="34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55" w:type="dxa"/>
            <w:vAlign w:val="bottom"/>
            <w:tcBorders>
              <w:bottom w:val="single" w:sz="8" w:color="auto"/>
            </w:tcBorders>
          </w:tcPr>
          <w:p>
            <w:pPr>
              <w:spacing w:after="0" w:line="20" w:lineRule="exact"/>
              <w:rPr>
                <w:sz w:val="1"/>
                <w:szCs w:val="1"/>
                <w:color w:val="auto"/>
              </w:rPr>
            </w:pPr>
          </w:p>
        </w:tc>
        <w:tc>
          <w:tcPr>
            <w:tcW w:w="1165" w:type="dxa"/>
            <w:vAlign w:val="bottom"/>
            <w:tcBorders>
              <w:bottom w:val="single" w:sz="8" w:color="auto"/>
            </w:tcBorders>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83"/>
        </w:trPr>
        <w:tc>
          <w:tcPr>
            <w:tcW w:w="3440" w:type="dxa"/>
            <w:vAlign w:val="bottom"/>
          </w:tcPr>
          <w:p>
            <w:pPr>
              <w:spacing w:after="0"/>
              <w:rPr>
                <w:sz w:val="15"/>
                <w:szCs w:val="15"/>
                <w:color w:val="auto"/>
              </w:rPr>
            </w:pPr>
          </w:p>
        </w:tc>
        <w:tc>
          <w:tcPr>
            <w:tcW w:w="180" w:type="dxa"/>
            <w:vAlign w:val="bottom"/>
            <w:gridSpan w:val="3"/>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gridSpan w:val="3"/>
          </w:tcPr>
          <w:p>
            <w:pPr>
              <w:spacing w:after="0"/>
              <w:rPr>
                <w:sz w:val="15"/>
                <w:szCs w:val="15"/>
                <w:color w:val="auto"/>
              </w:rPr>
            </w:pPr>
          </w:p>
        </w:tc>
        <w:tc>
          <w:tcPr>
            <w:tcW w:w="155" w:type="dxa"/>
            <w:vAlign w:val="bottom"/>
          </w:tcPr>
          <w:p>
            <w:pPr>
              <w:spacing w:after="0"/>
              <w:rPr>
                <w:sz w:val="15"/>
                <w:szCs w:val="15"/>
                <w:color w:val="auto"/>
              </w:rPr>
            </w:pPr>
          </w:p>
        </w:tc>
        <w:tc>
          <w:tcPr>
            <w:tcW w:w="1145" w:type="dxa"/>
            <w:vAlign w:val="bottom"/>
          </w:tcPr>
          <w:p>
            <w:pPr>
              <w:spacing w:after="0"/>
              <w:rPr>
                <w:sz w:val="15"/>
                <w:szCs w:val="15"/>
                <w:color w:val="auto"/>
              </w:rPr>
            </w:pPr>
          </w:p>
        </w:tc>
        <w:tc>
          <w:tcPr>
            <w:tcW w:w="160" w:type="dxa"/>
            <w:vAlign w:val="bottom"/>
            <w:gridSpan w:val="4"/>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gridSpan w:val="3"/>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29"/>
        </w:trPr>
        <w:tc>
          <w:tcPr>
            <w:tcW w:w="3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Mutual funds</w:t>
            </w:r>
          </w:p>
        </w:tc>
        <w:tc>
          <w:tcPr>
            <w:tcW w:w="160" w:type="dxa"/>
            <w:vAlign w:val="bottom"/>
            <w:gridSpan w:val="2"/>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shd w:val="clear" w:color="auto" w:fill="CCEEFF"/>
              </w:rPr>
              <w:t>$</w:t>
            </w: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3,826</w:t>
            </w:r>
          </w:p>
        </w:tc>
        <w:tc>
          <w:tcPr>
            <w:tcW w:w="40" w:type="dxa"/>
            <w:vAlign w:val="bottom"/>
            <w:tcBorders>
              <w:bottom w:val="single" w:sz="8" w:color="auto"/>
            </w:tcBorders>
            <w:shd w:val="clear" w:color="auto" w:fill="CCEEFF"/>
          </w:tcPr>
          <w:p>
            <w:pPr>
              <w:spacing w:after="0"/>
              <w:rPr>
                <w:sz w:val="19"/>
                <w:szCs w:val="19"/>
                <w:color w:val="auto"/>
              </w:rPr>
            </w:pPr>
          </w:p>
        </w:tc>
        <w:tc>
          <w:tcPr>
            <w:tcW w:w="140" w:type="dxa"/>
            <w:vAlign w:val="bottom"/>
            <w:gridSpan w:val="2"/>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55"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shd w:val="clear" w:color="auto" w:fill="CCEEFF"/>
              </w:rPr>
              <w:t>$</w:t>
            </w:r>
          </w:p>
        </w:tc>
        <w:tc>
          <w:tcPr>
            <w:tcW w:w="1145"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spacing w:after="0"/>
              <w:rPr>
                <w:sz w:val="19"/>
                <w:szCs w:val="19"/>
                <w:color w:val="auto"/>
              </w:rPr>
            </w:pPr>
          </w:p>
        </w:tc>
        <w:tc>
          <w:tcPr>
            <w:tcW w:w="40" w:type="dxa"/>
            <w:vAlign w:val="bottom"/>
            <w:tcBorders>
              <w:bottom w:val="single" w:sz="8" w:color="auto"/>
            </w:tcBorders>
            <w:gridSpan w:val="2"/>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shd w:val="clear" w:color="auto" w:fill="CCEEFF"/>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40" w:type="dxa"/>
            <w:vAlign w:val="bottom"/>
            <w:gridSpan w:val="2"/>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shd w:val="clear" w:color="auto" w:fill="CCEEFF"/>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3,752</w:t>
            </w:r>
          </w:p>
        </w:tc>
        <w:tc>
          <w:tcPr>
            <w:tcW w:w="20" w:type="dxa"/>
            <w:vAlign w:val="bottom"/>
          </w:tcPr>
          <w:p>
            <w:pPr>
              <w:spacing w:after="0"/>
              <w:rPr>
                <w:sz w:val="19"/>
                <w:szCs w:val="19"/>
                <w:color w:val="auto"/>
              </w:rPr>
            </w:pPr>
          </w:p>
        </w:tc>
      </w:tr>
      <w:tr>
        <w:trPr>
          <w:trHeight w:val="237"/>
        </w:trPr>
        <w:tc>
          <w:tcPr>
            <w:tcW w:w="3440" w:type="dxa"/>
            <w:vAlign w:val="bottom"/>
          </w:tcPr>
          <w:p>
            <w:pPr>
              <w:ind w:left="40"/>
              <w:spacing w:after="0"/>
              <w:rPr>
                <w:sz w:val="20"/>
                <w:szCs w:val="20"/>
                <w:color w:val="auto"/>
              </w:rPr>
            </w:pPr>
            <w:r>
              <w:rPr>
                <w:rFonts w:ascii="Arial" w:cs="Arial" w:eastAsia="Arial" w:hAnsi="Arial"/>
                <w:sz w:val="18"/>
                <w:szCs w:val="18"/>
                <w:color w:val="auto"/>
              </w:rPr>
              <w:t>Total noncurrent investment securities</w:t>
            </w:r>
          </w:p>
        </w:tc>
        <w:tc>
          <w:tcPr>
            <w:tcW w:w="3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3,826</w:t>
            </w:r>
          </w:p>
        </w:tc>
        <w:tc>
          <w:tcPr>
            <w:tcW w:w="40" w:type="dxa"/>
            <w:vAlign w:val="bottom"/>
          </w:tcPr>
          <w:p>
            <w:pPr>
              <w:spacing w:after="0"/>
              <w:rPr>
                <w:sz w:val="20"/>
                <w:szCs w:val="20"/>
                <w:color w:val="auto"/>
              </w:rPr>
            </w:pPr>
          </w:p>
        </w:tc>
        <w:tc>
          <w:tcPr>
            <w:tcW w:w="315"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305" w:type="dxa"/>
            <w:vAlign w:val="bottom"/>
            <w:gridSpan w:val="5"/>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74</w:t>
            </w:r>
          </w:p>
        </w:tc>
        <w:tc>
          <w:tcPr>
            <w:tcW w:w="26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3,752</w:t>
            </w:r>
          </w:p>
        </w:tc>
        <w:tc>
          <w:tcPr>
            <w:tcW w:w="20" w:type="dxa"/>
            <w:vAlign w:val="bottom"/>
          </w:tcPr>
          <w:p>
            <w:pPr>
              <w:spacing w:after="0"/>
              <w:rPr>
                <w:sz w:val="20"/>
                <w:szCs w:val="20"/>
                <w:color w:val="auto"/>
              </w:rPr>
            </w:pPr>
          </w:p>
        </w:tc>
      </w:tr>
      <w:tr>
        <w:trPr>
          <w:trHeight w:val="20"/>
        </w:trPr>
        <w:tc>
          <w:tcPr>
            <w:tcW w:w="3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55" w:type="dxa"/>
            <w:vAlign w:val="bottom"/>
            <w:tcBorders>
              <w:top w:val="single" w:sz="8" w:color="auto"/>
              <w:bottom w:val="single" w:sz="8" w:color="auto"/>
            </w:tcBorders>
          </w:tcPr>
          <w:p>
            <w:pPr>
              <w:spacing w:after="0" w:line="20" w:lineRule="exact"/>
              <w:rPr>
                <w:sz w:val="1"/>
                <w:szCs w:val="1"/>
                <w:color w:val="auto"/>
              </w:rPr>
            </w:pPr>
          </w:p>
        </w:tc>
        <w:tc>
          <w:tcPr>
            <w:tcW w:w="1145"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1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i w:val="1"/>
          <w:iCs w:val="1"/>
          <w:color w:val="auto"/>
        </w:rPr>
        <w:t>Available-for-sale</w:t>
      </w:r>
    </w:p>
    <w:p>
      <w:pPr>
        <w:spacing w:after="0" w:line="225" w:lineRule="exact"/>
        <w:rPr>
          <w:sz w:val="20"/>
          <w:szCs w:val="20"/>
          <w:color w:val="auto"/>
        </w:rPr>
      </w:pPr>
    </w:p>
    <w:p>
      <w:pPr>
        <w:jc w:val="both"/>
        <w:ind w:left="40" w:right="60"/>
        <w:spacing w:after="0" w:line="271" w:lineRule="auto"/>
        <w:rPr>
          <w:sz w:val="20"/>
          <w:szCs w:val="20"/>
          <w:color w:val="auto"/>
        </w:rPr>
      </w:pPr>
      <w:r>
        <w:rPr>
          <w:rFonts w:ascii="Arial" w:cs="Arial" w:eastAsia="Arial" w:hAnsi="Arial"/>
          <w:sz w:val="17"/>
          <w:szCs w:val="17"/>
          <w:color w:val="auto"/>
        </w:rPr>
        <w:t>Proceeds from sales and maturities of investment securities available-for-sale were $ 65.3 million and $67.9 million during the twenty-six weeks ended November 26, 2022 and November 27, 2021, respectively. Gross realized gains for the twenty-six weeks ended November 26, 2022 and November 27, 2021 were $2 thousand and $165 thousand, respectively. Gross realized losses for the twenty-six weeks ended November 26, 2022 and November 27, 2021 were $ 63 thousand and $67 thousand, respectively. There were no allowances for credit losses at November 26, 2022 and May 28, 2022.</w:t>
      </w:r>
    </w:p>
    <w:p>
      <w:pPr>
        <w:spacing w:after="0" w:line="179" w:lineRule="exact"/>
        <w:rPr>
          <w:sz w:val="20"/>
          <w:szCs w:val="20"/>
          <w:color w:val="auto"/>
        </w:rPr>
      </w:pPr>
    </w:p>
    <w:p>
      <w:pPr>
        <w:jc w:val="both"/>
        <w:ind w:left="40" w:right="60"/>
        <w:spacing w:after="0" w:line="290" w:lineRule="auto"/>
        <w:rPr>
          <w:sz w:val="20"/>
          <w:szCs w:val="20"/>
          <w:color w:val="auto"/>
        </w:rPr>
      </w:pPr>
      <w:r>
        <w:rPr>
          <w:rFonts w:ascii="Arial" w:cs="Arial" w:eastAsia="Arial" w:hAnsi="Arial"/>
          <w:sz w:val="17"/>
          <w:szCs w:val="17"/>
          <w:color w:val="auto"/>
        </w:rPr>
        <w:t>Actual maturities may differ from contractual maturities as some borrowers have the right to call or prepay obligations with or without penalties. Contractual maturities of current investments at November 26, 2022 are as follows (in thousands):</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0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8"/>
              </w:rPr>
              <w:t>Estimated Fair Value</w:t>
            </w:r>
          </w:p>
        </w:tc>
      </w:tr>
      <w:tr>
        <w:trPr>
          <w:trHeight w:val="223"/>
        </w:trPr>
        <w:tc>
          <w:tcPr>
            <w:tcW w:w="7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Within one year</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shd w:val="clear" w:color="auto" w:fill="CCEEFF"/>
              </w:rPr>
              <w:t>$</w:t>
            </w:r>
          </w:p>
        </w:tc>
        <w:tc>
          <w:tcPr>
            <w:tcW w:w="2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133,867</w:t>
            </w:r>
          </w:p>
        </w:tc>
      </w:tr>
      <w:tr>
        <w:trPr>
          <w:trHeight w:val="216"/>
        </w:trPr>
        <w:tc>
          <w:tcPr>
            <w:tcW w:w="70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1-5 years</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66,847</w:t>
            </w:r>
          </w:p>
        </w:tc>
      </w:tr>
      <w:tr>
        <w:trPr>
          <w:trHeight w:val="20"/>
        </w:trPr>
        <w:tc>
          <w:tcPr>
            <w:tcW w:w="7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217"/>
        </w:trPr>
        <w:tc>
          <w:tcPr>
            <w:tcW w:w="7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shd w:val="clear" w:color="auto" w:fill="CCEEFF"/>
              </w:rPr>
              <w:t>$</w:t>
            </w:r>
          </w:p>
        </w:tc>
        <w:tc>
          <w:tcPr>
            <w:tcW w:w="2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200,714</w:t>
            </w:r>
          </w:p>
        </w:tc>
      </w:tr>
      <w:tr>
        <w:trPr>
          <w:trHeight w:val="20"/>
        </w:trPr>
        <w:tc>
          <w:tcPr>
            <w:tcW w:w="70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r>
        <w:trPr>
          <w:trHeight w:val="20"/>
        </w:trPr>
        <w:tc>
          <w:tcPr>
            <w:tcW w:w="70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Noncurrent</w:t>
      </w:r>
    </w:p>
    <w:p>
      <w:pPr>
        <w:spacing w:after="0" w:line="225" w:lineRule="exact"/>
        <w:rPr>
          <w:sz w:val="20"/>
          <w:szCs w:val="20"/>
          <w:color w:val="auto"/>
        </w:rPr>
      </w:pPr>
    </w:p>
    <w:p>
      <w:pPr>
        <w:jc w:val="both"/>
        <w:ind w:left="40" w:right="40"/>
        <w:spacing w:after="0" w:line="254" w:lineRule="auto"/>
        <w:rPr>
          <w:sz w:val="20"/>
          <w:szCs w:val="20"/>
          <w:color w:val="auto"/>
        </w:rPr>
      </w:pPr>
      <w:r>
        <w:rPr>
          <w:rFonts w:ascii="Arial" w:cs="Arial" w:eastAsia="Arial" w:hAnsi="Arial"/>
          <w:sz w:val="18"/>
          <w:szCs w:val="18"/>
          <w:color w:val="auto"/>
        </w:rPr>
        <w:t>There were no sales of noncurrent investment securities during the twenty-six weeks ended November 26, 2022. Proceeds from sales and maturities of noncurrent investment securities were $453 thousand during the twenty-six weeks ended November 27, 2021. Gross realized gains for the twenty-six weeks ended November 27, 2021 were $165 thousand. There were no realized losses for the twenty-six weeks ended November 27, 2021.</w:t>
      </w:r>
    </w:p>
    <w:p>
      <w:pPr>
        <w:spacing w:after="0" w:line="17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3 - Fair Value Measurements</w:t>
      </w:r>
    </w:p>
    <w:p>
      <w:pPr>
        <w:spacing w:after="0" w:line="229" w:lineRule="exact"/>
        <w:rPr>
          <w:sz w:val="20"/>
          <w:szCs w:val="20"/>
          <w:color w:val="auto"/>
        </w:rPr>
      </w:pPr>
    </w:p>
    <w:p>
      <w:pPr>
        <w:jc w:val="both"/>
        <w:ind w:left="40"/>
        <w:spacing w:after="0" w:line="249" w:lineRule="auto"/>
        <w:rPr>
          <w:sz w:val="20"/>
          <w:szCs w:val="20"/>
          <w:color w:val="auto"/>
        </w:rPr>
      </w:pPr>
      <w:r>
        <w:rPr>
          <w:rFonts w:ascii="Arial" w:cs="Arial" w:eastAsia="Arial" w:hAnsi="Arial"/>
          <w:sz w:val="18"/>
          <w:szCs w:val="18"/>
          <w:color w:val="auto"/>
        </w:rPr>
        <w:t>The Company is required to categorize both financial and nonfinancial assets and liabilities based on the following fair value hierarchy. The fair value of an asset is the price at which the asset could be sold in an orderly transaction between unrelated, knowledgeable, and willing parties able to engage in the transaction. A liability’s fair value is defined as the amount that would be paid to transfer the liability to a new obligor in a transaction between such parties, not the amount that would be paid to settle the liability with the creditor.</w:t>
      </w:r>
    </w:p>
    <w:p>
      <w:pPr>
        <w:spacing w:after="0" w:line="182" w:lineRule="exact"/>
        <w:rPr>
          <w:sz w:val="20"/>
          <w:szCs w:val="20"/>
          <w:color w:val="auto"/>
        </w:rPr>
      </w:pPr>
    </w:p>
    <w:p>
      <w:pPr>
        <w:ind w:left="1020" w:hanging="325"/>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prices in active markets for identical assets or liabilities</w:t>
      </w:r>
    </w:p>
    <w:p>
      <w:pPr>
        <w:spacing w:after="0" w:line="198" w:lineRule="exact"/>
        <w:rPr>
          <w:rFonts w:ascii="Arial" w:cs="Arial" w:eastAsia="Arial" w:hAnsi="Arial"/>
          <w:sz w:val="18"/>
          <w:szCs w:val="18"/>
          <w:color w:val="auto"/>
        </w:rPr>
      </w:pPr>
    </w:p>
    <w:p>
      <w:pPr>
        <w:ind w:left="1020" w:right="40" w:hanging="325"/>
        <w:spacing w:after="0" w:line="250"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Inputs other than quoted prices included in Level 1 that are observable for the asset or liability, either</w:t>
      </w:r>
      <w:r>
        <w:rPr>
          <w:rFonts w:ascii="Arial" w:cs="Arial" w:eastAsia="Arial" w:hAnsi="Arial"/>
          <w:sz w:val="18"/>
          <w:szCs w:val="18"/>
          <w:i w:val="1"/>
          <w:iCs w:val="1"/>
          <w:color w:val="auto"/>
        </w:rPr>
        <w:t xml:space="preserve"> </w:t>
      </w:r>
      <w:r>
        <w:rPr>
          <w:rFonts w:ascii="Arial" w:cs="Arial" w:eastAsia="Arial" w:hAnsi="Arial"/>
          <w:sz w:val="18"/>
          <w:szCs w:val="18"/>
          <w:color w:val="auto"/>
        </w:rPr>
        <w:t>directly or indirectly, including:</w:t>
      </w:r>
    </w:p>
    <w:p>
      <w:pPr>
        <w:spacing w:after="0" w:line="1" w:lineRule="exact"/>
        <w:rPr>
          <w:rFonts w:ascii="Arial" w:cs="Arial" w:eastAsia="Arial" w:hAnsi="Arial"/>
          <w:sz w:val="18"/>
          <w:szCs w:val="18"/>
          <w:color w:val="auto"/>
        </w:rPr>
      </w:pPr>
    </w:p>
    <w:p>
      <w:pPr>
        <w:ind w:left="1660" w:hanging="317"/>
        <w:spacing w:after="0"/>
        <w:tabs>
          <w:tab w:leader="none" w:pos="1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Quoted prices for similar assets or liabilities in active markets</w:t>
      </w:r>
    </w:p>
    <w:p>
      <w:pPr>
        <w:spacing w:after="0" w:line="9" w:lineRule="exact"/>
        <w:rPr>
          <w:rFonts w:ascii="Arial" w:cs="Arial" w:eastAsia="Arial" w:hAnsi="Arial"/>
          <w:sz w:val="18"/>
          <w:szCs w:val="18"/>
          <w:color w:val="auto"/>
        </w:rPr>
      </w:pPr>
    </w:p>
    <w:p>
      <w:pPr>
        <w:ind w:left="1660" w:hanging="317"/>
        <w:spacing w:after="0"/>
        <w:tabs>
          <w:tab w:leader="none" w:pos="1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Quoted prices for identical or similar assets in non-active markets</w:t>
      </w:r>
    </w:p>
    <w:p>
      <w:pPr>
        <w:spacing w:after="0" w:line="9" w:lineRule="exact"/>
        <w:rPr>
          <w:rFonts w:ascii="Arial" w:cs="Arial" w:eastAsia="Arial" w:hAnsi="Arial"/>
          <w:sz w:val="18"/>
          <w:szCs w:val="18"/>
          <w:color w:val="auto"/>
        </w:rPr>
      </w:pPr>
    </w:p>
    <w:p>
      <w:pPr>
        <w:ind w:left="1660" w:hanging="317"/>
        <w:spacing w:after="0"/>
        <w:tabs>
          <w:tab w:leader="none" w:pos="1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Inputs other than quoted prices that are observable for the asset or liability</w:t>
      </w:r>
    </w:p>
    <w:p>
      <w:pPr>
        <w:spacing w:after="0" w:line="9" w:lineRule="exact"/>
        <w:rPr>
          <w:rFonts w:ascii="Arial" w:cs="Arial" w:eastAsia="Arial" w:hAnsi="Arial"/>
          <w:sz w:val="18"/>
          <w:szCs w:val="18"/>
          <w:color w:val="auto"/>
        </w:rPr>
      </w:pPr>
    </w:p>
    <w:p>
      <w:pPr>
        <w:ind w:left="1660" w:hanging="317"/>
        <w:spacing w:after="0"/>
        <w:tabs>
          <w:tab w:leader="none" w:pos="1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Inputs derived principally from or corroborated by other observable market data</w:t>
      </w:r>
    </w:p>
    <w:p>
      <w:pPr>
        <w:spacing w:after="0" w:line="170" w:lineRule="exact"/>
        <w:rPr>
          <w:rFonts w:ascii="Arial" w:cs="Arial" w:eastAsia="Arial" w:hAnsi="Arial"/>
          <w:sz w:val="18"/>
          <w:szCs w:val="18"/>
          <w:color w:val="auto"/>
        </w:rPr>
      </w:pPr>
    </w:p>
    <w:p>
      <w:pPr>
        <w:ind w:left="1020" w:right="80" w:hanging="325"/>
        <w:spacing w:after="0" w:line="276"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Unobservable inputs for the asset or liability that are supported by little or no market activity and that are</w:t>
      </w:r>
      <w:r>
        <w:rPr>
          <w:rFonts w:ascii="Arial" w:cs="Arial" w:eastAsia="Arial" w:hAnsi="Arial"/>
          <w:sz w:val="18"/>
          <w:szCs w:val="18"/>
          <w:i w:val="1"/>
          <w:iCs w:val="1"/>
          <w:color w:val="auto"/>
        </w:rPr>
        <w:t xml:space="preserve"> </w:t>
      </w:r>
      <w:r>
        <w:rPr>
          <w:rFonts w:ascii="Arial" w:cs="Arial" w:eastAsia="Arial" w:hAnsi="Arial"/>
          <w:sz w:val="18"/>
          <w:szCs w:val="18"/>
          <w:color w:val="auto"/>
        </w:rPr>
        <w:t>significant to the fair value of the assets or liabilities</w:t>
      </w:r>
    </w:p>
    <w:p>
      <w:pPr>
        <w:sectPr>
          <w:pgSz w:w="11900" w:h="16838" w:orient="portrait"/>
          <w:cols w:equalWidth="0" w:num="1">
            <w:col w:w="9340"/>
          </w:cols>
          <w:pgMar w:left="1280" w:top="297" w:right="1279" w:bottom="1440" w:gutter="0" w:footer="0" w:header="0"/>
        </w:sect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9340"/>
          </w:cols>
          <w:pgMar w:left="1280" w:top="297" w:right="1279" w:bottom="1440" w:gutter="0" w:footer="0" w:header="0"/>
          <w:type w:val="continuous"/>
        </w:sectPr>
      </w:pPr>
    </w:p>
    <w:bookmarkStart w:id="9" w:name="page10"/>
    <w:bookmarkEnd w:id="9"/>
    <w:p>
      <w:pPr>
        <w:jc w:val="center"/>
        <w:ind w:right="-39"/>
        <w:spacing w:after="0"/>
        <w:rPr>
          <w:sz w:val="20"/>
          <w:szCs w:val="20"/>
          <w:color w:val="auto"/>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82"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disclosures of fair value of certain financial assets and liabilities that are recorded at cost are as follows:</w:t>
      </w:r>
    </w:p>
    <w:p>
      <w:pPr>
        <w:spacing w:after="0" w:line="131" w:lineRule="exact"/>
        <w:rPr>
          <w:sz w:val="20"/>
          <w:szCs w:val="20"/>
          <w:color w:val="auto"/>
        </w:rPr>
      </w:pPr>
    </w:p>
    <w:p>
      <w:pPr>
        <w:ind w:left="40" w:right="20"/>
        <w:spacing w:after="0" w:line="276" w:lineRule="auto"/>
        <w:rPr>
          <w:sz w:val="20"/>
          <w:szCs w:val="20"/>
          <w:color w:val="auto"/>
        </w:rPr>
      </w:pPr>
      <w:r>
        <w:rPr>
          <w:rFonts w:ascii="Arial" w:cs="Arial" w:eastAsia="Arial" w:hAnsi="Arial"/>
          <w:sz w:val="18"/>
          <w:szCs w:val="18"/>
          <w:i w:val="1"/>
          <w:iCs w:val="1"/>
          <w:color w:val="auto"/>
        </w:rPr>
        <w:t xml:space="preserve">Cash and cash equivalents, accounts receivable, and accounts payable: </w:t>
      </w:r>
      <w:r>
        <w:rPr>
          <w:rFonts w:ascii="Arial" w:cs="Arial" w:eastAsia="Arial" w:hAnsi="Arial"/>
          <w:sz w:val="18"/>
          <w:szCs w:val="18"/>
          <w:color w:val="auto"/>
        </w:rPr>
        <w:t>The carrying amount approximates fair value due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short maturity of these instruments.</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 xml:space="preserve">Lease obligations: </w:t>
      </w:r>
      <w:r>
        <w:rPr>
          <w:rFonts w:ascii="Arial" w:cs="Arial" w:eastAsia="Arial" w:hAnsi="Arial"/>
          <w:sz w:val="16"/>
          <w:szCs w:val="16"/>
          <w:color w:val="auto"/>
        </w:rPr>
        <w:t>The carrying value of the Company’s lease obligations is at its present value which approximates fair value.</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i w:val="1"/>
          <w:iCs w:val="1"/>
          <w:u w:val="single" w:color="auto"/>
          <w:color w:val="auto"/>
        </w:rPr>
        <w:t>Assets and Liabilities Measured at Fair Value on a Recurring Basis</w:t>
      </w:r>
    </w:p>
    <w:p>
      <w:pPr>
        <w:spacing w:after="0" w:line="225" w:lineRule="exact"/>
        <w:rPr>
          <w:sz w:val="20"/>
          <w:szCs w:val="20"/>
          <w:color w:val="auto"/>
        </w:rPr>
      </w:pPr>
    </w:p>
    <w:p>
      <w:pPr>
        <w:jc w:val="both"/>
        <w:ind w:left="40"/>
        <w:spacing w:after="0" w:line="307" w:lineRule="auto"/>
        <w:rPr>
          <w:sz w:val="20"/>
          <w:szCs w:val="20"/>
          <w:color w:val="auto"/>
        </w:rPr>
      </w:pPr>
      <w:r>
        <w:rPr>
          <w:rFonts w:ascii="Arial" w:cs="Arial" w:eastAsia="Arial" w:hAnsi="Arial"/>
          <w:sz w:val="17"/>
          <w:szCs w:val="17"/>
          <w:color w:val="auto"/>
        </w:rPr>
        <w:t>In accordance with the fair value hierarchy described above, the following table shows the fair value of financial assets and liabilities measured at fair value on a recurring basis as of November 26, 2022 and May 28, 2022 (in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November 26, 2022</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50" w:type="dxa"/>
            <w:vAlign w:val="bottom"/>
            <w:tcBorders>
              <w:bottom w:val="single" w:sz="8" w:color="auto"/>
            </w:tcBorders>
          </w:tcPr>
          <w:p>
            <w:pPr>
              <w:spacing w:after="0"/>
              <w:rPr>
                <w:sz w:val="18"/>
                <w:szCs w:val="18"/>
                <w:color w:val="auto"/>
              </w:rPr>
            </w:pPr>
          </w:p>
        </w:tc>
        <w:tc>
          <w:tcPr>
            <w:tcW w:w="1150" w:type="dxa"/>
            <w:vAlign w:val="bottom"/>
            <w:tcBorders>
              <w:bottom w:val="single" w:sz="8" w:color="auto"/>
            </w:tcBorders>
          </w:tcPr>
          <w:p>
            <w:pPr>
              <w:ind w:left="230"/>
              <w:spacing w:after="0"/>
              <w:rPr>
                <w:sz w:val="20"/>
                <w:szCs w:val="20"/>
                <w:color w:val="auto"/>
              </w:rPr>
            </w:pPr>
            <w:r>
              <w:rPr>
                <w:rFonts w:ascii="Arial" w:cs="Arial" w:eastAsia="Arial" w:hAnsi="Arial"/>
                <w:sz w:val="18"/>
                <w:szCs w:val="18"/>
                <w:color w:val="auto"/>
              </w:rPr>
              <w:t>Level 1</w:t>
            </w:r>
          </w:p>
        </w:tc>
        <w:tc>
          <w:tcPr>
            <w:tcW w:w="140" w:type="dxa"/>
            <w:vAlign w:val="bottom"/>
            <w:tcBorders>
              <w:bottom w:val="single" w:sz="8" w:color="CCEEFF"/>
            </w:tcBorders>
          </w:tcPr>
          <w:p>
            <w:pPr>
              <w:spacing w:after="0"/>
              <w:rPr>
                <w:sz w:val="18"/>
                <w:szCs w:val="18"/>
                <w:color w:val="auto"/>
              </w:rPr>
            </w:pPr>
          </w:p>
        </w:tc>
        <w:tc>
          <w:tcPr>
            <w:tcW w:w="150" w:type="dxa"/>
            <w:vAlign w:val="bottom"/>
            <w:tcBorders>
              <w:bottom w:val="single" w:sz="8" w:color="auto"/>
            </w:tcBorders>
          </w:tcPr>
          <w:p>
            <w:pPr>
              <w:spacing w:after="0"/>
              <w:rPr>
                <w:sz w:val="18"/>
                <w:szCs w:val="18"/>
                <w:color w:val="auto"/>
              </w:rPr>
            </w:pPr>
          </w:p>
        </w:tc>
        <w:tc>
          <w:tcPr>
            <w:tcW w:w="117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Level 2</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Level 3</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Balance</w:t>
            </w:r>
          </w:p>
        </w:tc>
      </w:tr>
      <w:tr>
        <w:trPr>
          <w:trHeight w:val="209"/>
        </w:trPr>
        <w:tc>
          <w:tcPr>
            <w:tcW w:w="3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 w:type="dxa"/>
            <w:vAlign w:val="bottom"/>
            <w:shd w:val="clear" w:color="auto" w:fill="CCEEFF"/>
          </w:tcPr>
          <w:p>
            <w:pPr>
              <w:spacing w:after="0"/>
              <w:rPr>
                <w:sz w:val="18"/>
                <w:szCs w:val="18"/>
                <w:color w:val="auto"/>
              </w:rPr>
            </w:pPr>
          </w:p>
        </w:tc>
        <w:tc>
          <w:tcPr>
            <w:tcW w:w="115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 w:type="dxa"/>
            <w:vAlign w:val="bottom"/>
            <w:shd w:val="clear" w:color="auto" w:fill="CCEEFF"/>
          </w:tcPr>
          <w:p>
            <w:pPr>
              <w:spacing w:after="0"/>
              <w:rPr>
                <w:sz w:val="18"/>
                <w:szCs w:val="18"/>
                <w:color w:val="auto"/>
              </w:rPr>
            </w:pPr>
          </w:p>
        </w:tc>
        <w:tc>
          <w:tcPr>
            <w:tcW w:w="117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30"/>
        </w:trPr>
        <w:tc>
          <w:tcPr>
            <w:tcW w:w="3440" w:type="dxa"/>
            <w:vAlign w:val="bottom"/>
          </w:tcPr>
          <w:p>
            <w:pPr>
              <w:ind w:left="300"/>
              <w:spacing w:after="0"/>
              <w:rPr>
                <w:sz w:val="20"/>
                <w:szCs w:val="20"/>
                <w:color w:val="auto"/>
              </w:rPr>
            </w:pPr>
            <w:r>
              <w:rPr>
                <w:rFonts w:ascii="Arial" w:cs="Arial" w:eastAsia="Arial" w:hAnsi="Arial"/>
                <w:sz w:val="18"/>
                <w:szCs w:val="18"/>
                <w:color w:val="auto"/>
              </w:rPr>
              <w:t>Municipal bonds</w:t>
            </w:r>
          </w:p>
        </w:tc>
        <w:tc>
          <w:tcPr>
            <w:tcW w:w="31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50" w:type="dxa"/>
            <w:vAlign w:val="bottom"/>
          </w:tcPr>
          <w:p>
            <w:pPr>
              <w:ind w:left="910"/>
              <w:spacing w:after="0"/>
              <w:rPr>
                <w:sz w:val="20"/>
                <w:szCs w:val="20"/>
                <w:color w:val="auto"/>
              </w:rPr>
            </w:pPr>
            <w:r>
              <w:rPr>
                <w:rFonts w:ascii="Arial" w:cs="Arial" w:eastAsia="Arial" w:hAnsi="Arial"/>
                <w:sz w:val="18"/>
                <w:szCs w:val="18"/>
                <w:color w:val="auto"/>
              </w:rPr>
              <w:t>—</w:t>
            </w:r>
          </w:p>
        </w:tc>
        <w:tc>
          <w:tcPr>
            <w:tcW w:w="29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70" w:type="dxa"/>
            <w:vAlign w:val="bottom"/>
          </w:tcPr>
          <w:p>
            <w:pPr>
              <w:jc w:val="right"/>
              <w:spacing w:after="0"/>
              <w:rPr>
                <w:sz w:val="20"/>
                <w:szCs w:val="20"/>
                <w:color w:val="auto"/>
              </w:rPr>
            </w:pPr>
            <w:r>
              <w:rPr>
                <w:rFonts w:ascii="Arial" w:cs="Arial" w:eastAsia="Arial" w:hAnsi="Arial"/>
                <w:sz w:val="18"/>
                <w:szCs w:val="18"/>
                <w:color w:val="auto"/>
              </w:rPr>
              <w:t>15,680</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1140" w:type="dxa"/>
            <w:vAlign w:val="bottom"/>
          </w:tcPr>
          <w:p>
            <w:pPr>
              <w:ind w:left="88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15,680</w:t>
            </w:r>
          </w:p>
        </w:tc>
      </w:tr>
      <w:tr>
        <w:trPr>
          <w:trHeight w:val="229"/>
        </w:trPr>
        <w:tc>
          <w:tcPr>
            <w:tcW w:w="34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Commercial paper</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 w:type="dxa"/>
            <w:vAlign w:val="bottom"/>
            <w:shd w:val="clear" w:color="auto" w:fill="CCEEFF"/>
          </w:tcPr>
          <w:p>
            <w:pPr>
              <w:spacing w:after="0"/>
              <w:rPr>
                <w:sz w:val="19"/>
                <w:szCs w:val="19"/>
                <w:color w:val="auto"/>
              </w:rPr>
            </w:pPr>
          </w:p>
        </w:tc>
        <w:tc>
          <w:tcPr>
            <w:tcW w:w="1150" w:type="dxa"/>
            <w:vAlign w:val="bottom"/>
            <w:shd w:val="clear" w:color="auto" w:fill="CCEEFF"/>
          </w:tcPr>
          <w:p>
            <w:pPr>
              <w:ind w:left="91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50" w:type="dxa"/>
            <w:vAlign w:val="bottom"/>
            <w:shd w:val="clear" w:color="auto" w:fill="CCEEFF"/>
          </w:tcPr>
          <w:p>
            <w:pPr>
              <w:spacing w:after="0"/>
              <w:rPr>
                <w:sz w:val="19"/>
                <w:szCs w:val="19"/>
                <w:color w:val="auto"/>
              </w:rPr>
            </w:pPr>
          </w:p>
        </w:tc>
        <w:tc>
          <w:tcPr>
            <w:tcW w:w="11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33,005</w:t>
            </w:r>
          </w:p>
        </w:tc>
      </w:tr>
      <w:tr>
        <w:trPr>
          <w:trHeight w:val="230"/>
        </w:trPr>
        <w:tc>
          <w:tcPr>
            <w:tcW w:w="3440" w:type="dxa"/>
            <w:vAlign w:val="bottom"/>
          </w:tcPr>
          <w:p>
            <w:pPr>
              <w:ind w:left="300"/>
              <w:spacing w:after="0"/>
              <w:rPr>
                <w:sz w:val="20"/>
                <w:szCs w:val="20"/>
                <w:color w:val="auto"/>
              </w:rPr>
            </w:pPr>
            <w:r>
              <w:rPr>
                <w:rFonts w:ascii="Arial" w:cs="Arial" w:eastAsia="Arial" w:hAnsi="Arial"/>
                <w:sz w:val="18"/>
                <w:szCs w:val="18"/>
                <w:color w:val="auto"/>
              </w:rPr>
              <w:t>Corporate bonds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 w:type="dxa"/>
            <w:vAlign w:val="bottom"/>
          </w:tcPr>
          <w:p>
            <w:pPr>
              <w:spacing w:after="0"/>
              <w:rPr>
                <w:sz w:val="19"/>
                <w:szCs w:val="19"/>
                <w:color w:val="auto"/>
              </w:rPr>
            </w:pPr>
          </w:p>
        </w:tc>
        <w:tc>
          <w:tcPr>
            <w:tcW w:w="1150" w:type="dxa"/>
            <w:vAlign w:val="bottom"/>
          </w:tcPr>
          <w:p>
            <w:pPr>
              <w:ind w:left="9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50" w:type="dxa"/>
            <w:vAlign w:val="bottom"/>
          </w:tcPr>
          <w:p>
            <w:pPr>
              <w:spacing w:after="0"/>
              <w:rPr>
                <w:sz w:val="19"/>
                <w:szCs w:val="19"/>
                <w:color w:val="auto"/>
              </w:rPr>
            </w:pPr>
          </w:p>
        </w:tc>
        <w:tc>
          <w:tcPr>
            <w:tcW w:w="1170" w:type="dxa"/>
            <w:vAlign w:val="bottom"/>
          </w:tcPr>
          <w:p>
            <w:pPr>
              <w:jc w:val="right"/>
              <w:spacing w:after="0"/>
              <w:rPr>
                <w:sz w:val="20"/>
                <w:szCs w:val="20"/>
                <w:color w:val="auto"/>
              </w:rPr>
            </w:pPr>
            <w:r>
              <w:rPr>
                <w:rFonts w:ascii="Arial" w:cs="Arial" w:eastAsia="Arial" w:hAnsi="Arial"/>
                <w:sz w:val="18"/>
                <w:szCs w:val="18"/>
                <w:color w:val="auto"/>
              </w:rPr>
              <w:t>79,509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ind w:left="8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79,509</w:t>
            </w:r>
          </w:p>
        </w:tc>
      </w:tr>
      <w:tr>
        <w:trPr>
          <w:trHeight w:val="229"/>
        </w:trPr>
        <w:tc>
          <w:tcPr>
            <w:tcW w:w="344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9"/>
              </w:rPr>
              <w:t>US government and agency obligations</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 w:type="dxa"/>
            <w:vAlign w:val="bottom"/>
            <w:shd w:val="clear" w:color="auto" w:fill="CCEEFF"/>
          </w:tcPr>
          <w:p>
            <w:pPr>
              <w:spacing w:after="0"/>
              <w:rPr>
                <w:sz w:val="19"/>
                <w:szCs w:val="19"/>
                <w:color w:val="auto"/>
              </w:rPr>
            </w:pPr>
          </w:p>
        </w:tc>
        <w:tc>
          <w:tcPr>
            <w:tcW w:w="1150" w:type="dxa"/>
            <w:vAlign w:val="bottom"/>
            <w:shd w:val="clear" w:color="auto" w:fill="CCEEFF"/>
          </w:tcPr>
          <w:p>
            <w:pPr>
              <w:ind w:left="91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50" w:type="dxa"/>
            <w:vAlign w:val="bottom"/>
            <w:shd w:val="clear" w:color="auto" w:fill="CCEEFF"/>
          </w:tcPr>
          <w:p>
            <w:pPr>
              <w:spacing w:after="0"/>
              <w:rPr>
                <w:sz w:val="19"/>
                <w:szCs w:val="19"/>
                <w:color w:val="auto"/>
              </w:rPr>
            </w:pPr>
          </w:p>
        </w:tc>
        <w:tc>
          <w:tcPr>
            <w:tcW w:w="11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18,906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18,906</w:t>
            </w:r>
          </w:p>
        </w:tc>
      </w:tr>
      <w:tr>
        <w:trPr>
          <w:trHeight w:val="243"/>
        </w:trPr>
        <w:tc>
          <w:tcPr>
            <w:tcW w:w="3440" w:type="dxa"/>
            <w:vAlign w:val="bottom"/>
          </w:tcPr>
          <w:p>
            <w:pPr>
              <w:ind w:left="300"/>
              <w:spacing w:after="0"/>
              <w:rPr>
                <w:sz w:val="20"/>
                <w:szCs w:val="20"/>
                <w:color w:val="auto"/>
              </w:rPr>
            </w:pPr>
            <w:r>
              <w:rPr>
                <w:rFonts w:ascii="Arial" w:cs="Arial" w:eastAsia="Arial" w:hAnsi="Arial"/>
                <w:sz w:val="18"/>
                <w:szCs w:val="18"/>
                <w:color w:val="auto"/>
              </w:rPr>
              <w:t>Asset backed securities</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 w:type="dxa"/>
            <w:vAlign w:val="bottom"/>
          </w:tcPr>
          <w:p>
            <w:pPr>
              <w:spacing w:after="0"/>
              <w:rPr>
                <w:sz w:val="21"/>
                <w:szCs w:val="21"/>
                <w:color w:val="auto"/>
              </w:rPr>
            </w:pPr>
          </w:p>
        </w:tc>
        <w:tc>
          <w:tcPr>
            <w:tcW w:w="1150" w:type="dxa"/>
            <w:vAlign w:val="bottom"/>
          </w:tcPr>
          <w:p>
            <w:pPr>
              <w:ind w:left="9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50" w:type="dxa"/>
            <w:vAlign w:val="bottom"/>
          </w:tcPr>
          <w:p>
            <w:pPr>
              <w:spacing w:after="0"/>
              <w:rPr>
                <w:sz w:val="21"/>
                <w:szCs w:val="21"/>
                <w:color w:val="auto"/>
              </w:rPr>
            </w:pPr>
          </w:p>
        </w:tc>
        <w:tc>
          <w:tcPr>
            <w:tcW w:w="1170" w:type="dxa"/>
            <w:vAlign w:val="bottom"/>
          </w:tcPr>
          <w:p>
            <w:pPr>
              <w:jc w:val="right"/>
              <w:spacing w:after="0"/>
              <w:rPr>
                <w:sz w:val="20"/>
                <w:szCs w:val="20"/>
                <w:color w:val="auto"/>
              </w:rPr>
            </w:pPr>
            <w:r>
              <w:rPr>
                <w:rFonts w:ascii="Arial" w:cs="Arial" w:eastAsia="Arial" w:hAnsi="Arial"/>
                <w:sz w:val="18"/>
                <w:szCs w:val="18"/>
                <w:color w:val="auto"/>
              </w:rPr>
              <w:t>13,063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ind w:left="8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13,063</w:t>
            </w:r>
          </w:p>
        </w:tc>
      </w:tr>
      <w:tr>
        <w:trPr>
          <w:trHeight w:val="229"/>
        </w:trPr>
        <w:tc>
          <w:tcPr>
            <w:tcW w:w="34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Treasury bills</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 w:type="dxa"/>
            <w:vAlign w:val="bottom"/>
            <w:shd w:val="clear" w:color="auto" w:fill="CCEEFF"/>
          </w:tcPr>
          <w:p>
            <w:pPr>
              <w:spacing w:after="0"/>
              <w:rPr>
                <w:sz w:val="19"/>
                <w:szCs w:val="19"/>
                <w:color w:val="auto"/>
              </w:rPr>
            </w:pPr>
          </w:p>
        </w:tc>
        <w:tc>
          <w:tcPr>
            <w:tcW w:w="1150" w:type="dxa"/>
            <w:vAlign w:val="bottom"/>
            <w:shd w:val="clear" w:color="auto" w:fill="CCEEFF"/>
          </w:tcPr>
          <w:p>
            <w:pPr>
              <w:ind w:left="91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50" w:type="dxa"/>
            <w:vAlign w:val="bottom"/>
            <w:shd w:val="clear" w:color="auto" w:fill="CCEEFF"/>
          </w:tcPr>
          <w:p>
            <w:pPr>
              <w:spacing w:after="0"/>
              <w:rPr>
                <w:sz w:val="19"/>
                <w:szCs w:val="19"/>
                <w:color w:val="auto"/>
              </w:rPr>
            </w:pPr>
          </w:p>
        </w:tc>
        <w:tc>
          <w:tcPr>
            <w:tcW w:w="11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40,551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40,551</w:t>
            </w:r>
          </w:p>
        </w:tc>
      </w:tr>
      <w:tr>
        <w:trPr>
          <w:trHeight w:val="216"/>
        </w:trPr>
        <w:tc>
          <w:tcPr>
            <w:tcW w:w="344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Mutual funds</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50" w:type="dxa"/>
            <w:vAlign w:val="bottom"/>
            <w:tcBorders>
              <w:bottom w:val="single" w:sz="8" w:color="auto"/>
            </w:tcBorders>
          </w:tcPr>
          <w:p>
            <w:pPr>
              <w:spacing w:after="0"/>
              <w:rPr>
                <w:sz w:val="18"/>
                <w:szCs w:val="18"/>
                <w:color w:val="auto"/>
              </w:rPr>
            </w:pPr>
          </w:p>
        </w:tc>
        <w:tc>
          <w:tcPr>
            <w:tcW w:w="1150" w:type="dxa"/>
            <w:vAlign w:val="bottom"/>
            <w:tcBorders>
              <w:bottom w:val="single" w:sz="8" w:color="auto"/>
            </w:tcBorders>
          </w:tcPr>
          <w:p>
            <w:pPr>
              <w:ind w:left="670"/>
              <w:spacing w:after="0"/>
              <w:rPr>
                <w:sz w:val="20"/>
                <w:szCs w:val="20"/>
                <w:color w:val="auto"/>
              </w:rPr>
            </w:pPr>
            <w:r>
              <w:rPr>
                <w:rFonts w:ascii="Arial" w:cs="Arial" w:eastAsia="Arial" w:hAnsi="Arial"/>
                <w:sz w:val="18"/>
                <w:szCs w:val="18"/>
                <w:color w:val="auto"/>
              </w:rPr>
              <w:t>3,358</w:t>
            </w:r>
          </w:p>
        </w:tc>
        <w:tc>
          <w:tcPr>
            <w:tcW w:w="140" w:type="dxa"/>
            <w:vAlign w:val="bottom"/>
            <w:tcBorders>
              <w:bottom w:val="single" w:sz="8" w:color="CCEEFF"/>
            </w:tcBorders>
          </w:tcPr>
          <w:p>
            <w:pPr>
              <w:spacing w:after="0"/>
              <w:rPr>
                <w:sz w:val="18"/>
                <w:szCs w:val="18"/>
                <w:color w:val="auto"/>
              </w:rPr>
            </w:pPr>
          </w:p>
        </w:tc>
        <w:tc>
          <w:tcPr>
            <w:tcW w:w="150" w:type="dxa"/>
            <w:vAlign w:val="bottom"/>
            <w:tcBorders>
              <w:bottom w:val="single" w:sz="8" w:color="auto"/>
            </w:tcBorders>
          </w:tcPr>
          <w:p>
            <w:pPr>
              <w:spacing w:after="0"/>
              <w:rPr>
                <w:sz w:val="18"/>
                <w:szCs w:val="18"/>
                <w:color w:val="auto"/>
              </w:rPr>
            </w:pPr>
          </w:p>
        </w:tc>
        <w:tc>
          <w:tcPr>
            <w:tcW w:w="117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ind w:left="8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3,358</w:t>
            </w:r>
          </w:p>
        </w:tc>
      </w:tr>
      <w:tr>
        <w:trPr>
          <w:trHeight w:val="223"/>
        </w:trPr>
        <w:tc>
          <w:tcPr>
            <w:tcW w:w="3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assets measured at fair value</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shd w:val="clear" w:color="auto" w:fill="CCEEFF"/>
              </w:rPr>
              <w:t>$</w:t>
            </w:r>
          </w:p>
        </w:tc>
        <w:tc>
          <w:tcPr>
            <w:tcW w:w="1150" w:type="dxa"/>
            <w:vAlign w:val="bottom"/>
            <w:shd w:val="clear" w:color="auto" w:fill="CCEEFF"/>
          </w:tcPr>
          <w:p>
            <w:pPr>
              <w:ind w:left="670"/>
              <w:spacing w:after="0"/>
              <w:rPr>
                <w:sz w:val="20"/>
                <w:szCs w:val="20"/>
                <w:color w:val="auto"/>
              </w:rPr>
            </w:pPr>
            <w:r>
              <w:rPr>
                <w:rFonts w:ascii="Arial" w:cs="Arial" w:eastAsia="Arial" w:hAnsi="Arial"/>
                <w:sz w:val="18"/>
                <w:szCs w:val="18"/>
                <w:color w:val="auto"/>
              </w:rPr>
              <w:t>3,358</w:t>
            </w:r>
          </w:p>
        </w:tc>
        <w:tc>
          <w:tcPr>
            <w:tcW w:w="140" w:type="dxa"/>
            <w:vAlign w:val="bottom"/>
            <w:shd w:val="clear" w:color="auto" w:fill="CCEEFF"/>
          </w:tcPr>
          <w:p>
            <w:pPr>
              <w:spacing w:after="0"/>
              <w:rPr>
                <w:sz w:val="19"/>
                <w:szCs w:val="19"/>
                <w:color w:val="auto"/>
              </w:rPr>
            </w:pPr>
          </w:p>
        </w:tc>
        <w:tc>
          <w:tcPr>
            <w:tcW w:w="150" w:type="dxa"/>
            <w:vAlign w:val="bottom"/>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w:t>
            </w:r>
          </w:p>
        </w:tc>
        <w:tc>
          <w:tcPr>
            <w:tcW w:w="11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200,714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9"/>
                <w:shd w:val="clear" w:color="auto" w:fill="CCEEFF"/>
              </w:rPr>
              <w:t>$</w:t>
            </w:r>
          </w:p>
        </w:tc>
        <w:tc>
          <w:tcPr>
            <w:tcW w:w="11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shd w:val="clear" w:color="auto" w:fill="CCEEFF"/>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204,072</w:t>
            </w:r>
          </w:p>
        </w:tc>
      </w:tr>
      <w:tr>
        <w:trPr>
          <w:trHeight w:val="20"/>
        </w:trPr>
        <w:tc>
          <w:tcPr>
            <w:tcW w:w="3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 w:type="dxa"/>
            <w:vAlign w:val="bottom"/>
            <w:tcBorders>
              <w:bottom w:val="single" w:sz="8" w:color="auto"/>
            </w:tcBorders>
          </w:tcPr>
          <w:p>
            <w:pPr>
              <w:spacing w:after="0" w:line="20" w:lineRule="exact"/>
              <w:rPr>
                <w:sz w:val="1"/>
                <w:szCs w:val="1"/>
                <w:color w:val="auto"/>
              </w:rPr>
            </w:pPr>
          </w:p>
        </w:tc>
        <w:tc>
          <w:tcPr>
            <w:tcW w:w="115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 w:type="dxa"/>
            <w:vAlign w:val="bottom"/>
            <w:tcBorders>
              <w:bottom w:val="single" w:sz="8" w:color="auto"/>
            </w:tcBorders>
          </w:tcPr>
          <w:p>
            <w:pPr>
              <w:spacing w:after="0" w:line="20" w:lineRule="exact"/>
              <w:rPr>
                <w:sz w:val="1"/>
                <w:szCs w:val="1"/>
                <w:color w:val="auto"/>
              </w:rPr>
            </w:pPr>
          </w:p>
        </w:tc>
        <w:tc>
          <w:tcPr>
            <w:tcW w:w="117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446"/>
        </w:trPr>
        <w:tc>
          <w:tcPr>
            <w:tcW w:w="34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May 28, 2022</w:t>
            </w: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50" w:type="dxa"/>
            <w:vAlign w:val="bottom"/>
            <w:tcBorders>
              <w:bottom w:val="single" w:sz="8" w:color="auto"/>
            </w:tcBorders>
          </w:tcPr>
          <w:p>
            <w:pPr>
              <w:spacing w:after="0"/>
              <w:rPr>
                <w:sz w:val="24"/>
                <w:szCs w:val="24"/>
                <w:color w:val="auto"/>
              </w:rPr>
            </w:pPr>
          </w:p>
        </w:tc>
        <w:tc>
          <w:tcPr>
            <w:tcW w:w="1150" w:type="dxa"/>
            <w:vAlign w:val="bottom"/>
            <w:tcBorders>
              <w:bottom w:val="single" w:sz="8" w:color="auto"/>
            </w:tcBorders>
          </w:tcPr>
          <w:p>
            <w:pPr>
              <w:ind w:left="230"/>
              <w:spacing w:after="0"/>
              <w:rPr>
                <w:sz w:val="20"/>
                <w:szCs w:val="20"/>
                <w:color w:val="auto"/>
              </w:rPr>
            </w:pPr>
            <w:r>
              <w:rPr>
                <w:rFonts w:ascii="Arial" w:cs="Arial" w:eastAsia="Arial" w:hAnsi="Arial"/>
                <w:sz w:val="18"/>
                <w:szCs w:val="18"/>
                <w:color w:val="auto"/>
              </w:rPr>
              <w:t>Level 1</w:t>
            </w:r>
          </w:p>
        </w:tc>
        <w:tc>
          <w:tcPr>
            <w:tcW w:w="140" w:type="dxa"/>
            <w:vAlign w:val="bottom"/>
            <w:tcBorders>
              <w:bottom w:val="single" w:sz="8" w:color="CCEEFF"/>
            </w:tcBorders>
          </w:tcPr>
          <w:p>
            <w:pPr>
              <w:spacing w:after="0"/>
              <w:rPr>
                <w:sz w:val="24"/>
                <w:szCs w:val="24"/>
                <w:color w:val="auto"/>
              </w:rPr>
            </w:pPr>
          </w:p>
        </w:tc>
        <w:tc>
          <w:tcPr>
            <w:tcW w:w="150" w:type="dxa"/>
            <w:vAlign w:val="bottom"/>
            <w:tcBorders>
              <w:bottom w:val="single" w:sz="8" w:color="auto"/>
            </w:tcBorders>
          </w:tcPr>
          <w:p>
            <w:pPr>
              <w:spacing w:after="0"/>
              <w:rPr>
                <w:sz w:val="24"/>
                <w:szCs w:val="24"/>
                <w:color w:val="auto"/>
              </w:rPr>
            </w:pPr>
          </w:p>
        </w:tc>
        <w:tc>
          <w:tcPr>
            <w:tcW w:w="117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Level 2</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Level 3</w:t>
            </w:r>
          </w:p>
        </w:tc>
        <w:tc>
          <w:tcPr>
            <w:tcW w:w="14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Balance</w:t>
            </w:r>
          </w:p>
        </w:tc>
      </w:tr>
      <w:tr>
        <w:trPr>
          <w:trHeight w:val="209"/>
        </w:trPr>
        <w:tc>
          <w:tcPr>
            <w:tcW w:w="3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 w:type="dxa"/>
            <w:vAlign w:val="bottom"/>
            <w:shd w:val="clear" w:color="auto" w:fill="CCEEFF"/>
          </w:tcPr>
          <w:p>
            <w:pPr>
              <w:spacing w:after="0"/>
              <w:rPr>
                <w:sz w:val="18"/>
                <w:szCs w:val="18"/>
                <w:color w:val="auto"/>
              </w:rPr>
            </w:pPr>
          </w:p>
        </w:tc>
        <w:tc>
          <w:tcPr>
            <w:tcW w:w="115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 w:type="dxa"/>
            <w:vAlign w:val="bottom"/>
            <w:shd w:val="clear" w:color="auto" w:fill="CCEEFF"/>
          </w:tcPr>
          <w:p>
            <w:pPr>
              <w:spacing w:after="0"/>
              <w:rPr>
                <w:sz w:val="18"/>
                <w:szCs w:val="18"/>
                <w:color w:val="auto"/>
              </w:rPr>
            </w:pPr>
          </w:p>
        </w:tc>
        <w:tc>
          <w:tcPr>
            <w:tcW w:w="117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30"/>
        </w:trPr>
        <w:tc>
          <w:tcPr>
            <w:tcW w:w="3440" w:type="dxa"/>
            <w:vAlign w:val="bottom"/>
          </w:tcPr>
          <w:p>
            <w:pPr>
              <w:ind w:left="300"/>
              <w:spacing w:after="0"/>
              <w:rPr>
                <w:sz w:val="20"/>
                <w:szCs w:val="20"/>
                <w:color w:val="auto"/>
              </w:rPr>
            </w:pPr>
            <w:r>
              <w:rPr>
                <w:rFonts w:ascii="Arial" w:cs="Arial" w:eastAsia="Arial" w:hAnsi="Arial"/>
                <w:sz w:val="18"/>
                <w:szCs w:val="18"/>
                <w:color w:val="auto"/>
              </w:rPr>
              <w:t>Municipal bonds</w:t>
            </w:r>
          </w:p>
        </w:tc>
        <w:tc>
          <w:tcPr>
            <w:tcW w:w="31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50" w:type="dxa"/>
            <w:vAlign w:val="bottom"/>
          </w:tcPr>
          <w:p>
            <w:pPr>
              <w:ind w:left="910"/>
              <w:spacing w:after="0"/>
              <w:rPr>
                <w:sz w:val="20"/>
                <w:szCs w:val="20"/>
                <w:color w:val="auto"/>
              </w:rPr>
            </w:pPr>
            <w:r>
              <w:rPr>
                <w:rFonts w:ascii="Arial" w:cs="Arial" w:eastAsia="Arial" w:hAnsi="Arial"/>
                <w:sz w:val="18"/>
                <w:szCs w:val="18"/>
                <w:color w:val="auto"/>
              </w:rPr>
              <w:t>—</w:t>
            </w:r>
          </w:p>
        </w:tc>
        <w:tc>
          <w:tcPr>
            <w:tcW w:w="29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70" w:type="dxa"/>
            <w:vAlign w:val="bottom"/>
          </w:tcPr>
          <w:p>
            <w:pPr>
              <w:jc w:val="right"/>
              <w:spacing w:after="0"/>
              <w:rPr>
                <w:sz w:val="20"/>
                <w:szCs w:val="20"/>
                <w:color w:val="auto"/>
              </w:rPr>
            </w:pPr>
            <w:r>
              <w:rPr>
                <w:rFonts w:ascii="Arial" w:cs="Arial" w:eastAsia="Arial" w:hAnsi="Arial"/>
                <w:sz w:val="18"/>
                <w:szCs w:val="18"/>
                <w:color w:val="auto"/>
              </w:rPr>
              <w:t>10,104</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1140" w:type="dxa"/>
            <w:vAlign w:val="bottom"/>
          </w:tcPr>
          <w:p>
            <w:pPr>
              <w:ind w:left="88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10,104</w:t>
            </w:r>
          </w:p>
        </w:tc>
      </w:tr>
      <w:tr>
        <w:trPr>
          <w:trHeight w:val="230"/>
        </w:trPr>
        <w:tc>
          <w:tcPr>
            <w:tcW w:w="34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Commercial paper</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 w:type="dxa"/>
            <w:vAlign w:val="bottom"/>
            <w:shd w:val="clear" w:color="auto" w:fill="CCEEFF"/>
          </w:tcPr>
          <w:p>
            <w:pPr>
              <w:spacing w:after="0"/>
              <w:rPr>
                <w:sz w:val="19"/>
                <w:szCs w:val="19"/>
                <w:color w:val="auto"/>
              </w:rPr>
            </w:pPr>
          </w:p>
        </w:tc>
        <w:tc>
          <w:tcPr>
            <w:tcW w:w="1150" w:type="dxa"/>
            <w:vAlign w:val="bottom"/>
            <w:shd w:val="clear" w:color="auto" w:fill="CCEEFF"/>
          </w:tcPr>
          <w:p>
            <w:pPr>
              <w:ind w:left="91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50" w:type="dxa"/>
            <w:vAlign w:val="bottom"/>
            <w:shd w:val="clear" w:color="auto" w:fill="CCEEFF"/>
          </w:tcPr>
          <w:p>
            <w:pPr>
              <w:spacing w:after="0"/>
              <w:rPr>
                <w:sz w:val="19"/>
                <w:szCs w:val="19"/>
                <w:color w:val="auto"/>
              </w:rPr>
            </w:pPr>
          </w:p>
        </w:tc>
        <w:tc>
          <w:tcPr>
            <w:tcW w:w="11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14,868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14,868</w:t>
            </w:r>
          </w:p>
        </w:tc>
      </w:tr>
      <w:tr>
        <w:trPr>
          <w:trHeight w:val="230"/>
        </w:trPr>
        <w:tc>
          <w:tcPr>
            <w:tcW w:w="3440" w:type="dxa"/>
            <w:vAlign w:val="bottom"/>
          </w:tcPr>
          <w:p>
            <w:pPr>
              <w:ind w:left="300"/>
              <w:spacing w:after="0"/>
              <w:rPr>
                <w:sz w:val="20"/>
                <w:szCs w:val="20"/>
                <w:color w:val="auto"/>
              </w:rPr>
            </w:pPr>
            <w:r>
              <w:rPr>
                <w:rFonts w:ascii="Arial" w:cs="Arial" w:eastAsia="Arial" w:hAnsi="Arial"/>
                <w:sz w:val="18"/>
                <w:szCs w:val="18"/>
                <w:color w:val="auto"/>
              </w:rPr>
              <w:t>Corporate bonds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 w:type="dxa"/>
            <w:vAlign w:val="bottom"/>
          </w:tcPr>
          <w:p>
            <w:pPr>
              <w:spacing w:after="0"/>
              <w:rPr>
                <w:sz w:val="19"/>
                <w:szCs w:val="19"/>
                <w:color w:val="auto"/>
              </w:rPr>
            </w:pPr>
          </w:p>
        </w:tc>
        <w:tc>
          <w:tcPr>
            <w:tcW w:w="1150" w:type="dxa"/>
            <w:vAlign w:val="bottom"/>
          </w:tcPr>
          <w:p>
            <w:pPr>
              <w:ind w:left="9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50" w:type="dxa"/>
            <w:vAlign w:val="bottom"/>
          </w:tcPr>
          <w:p>
            <w:pPr>
              <w:spacing w:after="0"/>
              <w:rPr>
                <w:sz w:val="19"/>
                <w:szCs w:val="19"/>
                <w:color w:val="auto"/>
              </w:rPr>
            </w:pPr>
          </w:p>
        </w:tc>
        <w:tc>
          <w:tcPr>
            <w:tcW w:w="1170" w:type="dxa"/>
            <w:vAlign w:val="bottom"/>
          </w:tcPr>
          <w:p>
            <w:pPr>
              <w:jc w:val="right"/>
              <w:spacing w:after="0"/>
              <w:rPr>
                <w:sz w:val="20"/>
                <w:szCs w:val="20"/>
                <w:color w:val="auto"/>
              </w:rPr>
            </w:pPr>
            <w:r>
              <w:rPr>
                <w:rFonts w:ascii="Arial" w:cs="Arial" w:eastAsia="Arial" w:hAnsi="Arial"/>
                <w:sz w:val="18"/>
                <w:szCs w:val="18"/>
                <w:color w:val="auto"/>
              </w:rPr>
              <w:t>73,684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ind w:left="8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73,684</w:t>
            </w:r>
          </w:p>
        </w:tc>
      </w:tr>
      <w:tr>
        <w:trPr>
          <w:trHeight w:val="229"/>
        </w:trPr>
        <w:tc>
          <w:tcPr>
            <w:tcW w:w="34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Certificates of deposits</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 w:type="dxa"/>
            <w:vAlign w:val="bottom"/>
            <w:shd w:val="clear" w:color="auto" w:fill="CCEEFF"/>
          </w:tcPr>
          <w:p>
            <w:pPr>
              <w:spacing w:after="0"/>
              <w:rPr>
                <w:sz w:val="19"/>
                <w:szCs w:val="19"/>
                <w:color w:val="auto"/>
              </w:rPr>
            </w:pPr>
          </w:p>
        </w:tc>
        <w:tc>
          <w:tcPr>
            <w:tcW w:w="1150" w:type="dxa"/>
            <w:vAlign w:val="bottom"/>
            <w:shd w:val="clear" w:color="auto" w:fill="CCEEFF"/>
          </w:tcPr>
          <w:p>
            <w:pPr>
              <w:ind w:left="91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50" w:type="dxa"/>
            <w:vAlign w:val="bottom"/>
            <w:shd w:val="clear" w:color="auto" w:fill="CCEEFF"/>
          </w:tcPr>
          <w:p>
            <w:pPr>
              <w:spacing w:after="0"/>
              <w:rPr>
                <w:sz w:val="19"/>
                <w:szCs w:val="19"/>
                <w:color w:val="auto"/>
              </w:rPr>
            </w:pPr>
          </w:p>
        </w:tc>
        <w:tc>
          <w:tcPr>
            <w:tcW w:w="117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1,245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w:t>
            </w:r>
          </w:p>
        </w:tc>
      </w:tr>
      <w:tr>
        <w:trPr>
          <w:trHeight w:val="230"/>
        </w:trPr>
        <w:tc>
          <w:tcPr>
            <w:tcW w:w="3440" w:type="dxa"/>
            <w:vAlign w:val="bottom"/>
          </w:tcPr>
          <w:p>
            <w:pPr>
              <w:ind w:left="300"/>
              <w:spacing w:after="0"/>
              <w:rPr>
                <w:sz w:val="20"/>
                <w:szCs w:val="20"/>
                <w:color w:val="auto"/>
              </w:rPr>
            </w:pPr>
            <w:r>
              <w:rPr>
                <w:rFonts w:ascii="Arial" w:cs="Arial" w:eastAsia="Arial" w:hAnsi="Arial"/>
                <w:sz w:val="18"/>
                <w:szCs w:val="18"/>
                <w:color w:val="auto"/>
                <w:w w:val="99"/>
              </w:rPr>
              <w:t>US government and agency obligations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 w:type="dxa"/>
            <w:vAlign w:val="bottom"/>
          </w:tcPr>
          <w:p>
            <w:pPr>
              <w:spacing w:after="0"/>
              <w:rPr>
                <w:sz w:val="19"/>
                <w:szCs w:val="19"/>
                <w:color w:val="auto"/>
              </w:rPr>
            </w:pPr>
          </w:p>
        </w:tc>
        <w:tc>
          <w:tcPr>
            <w:tcW w:w="1150" w:type="dxa"/>
            <w:vAlign w:val="bottom"/>
          </w:tcPr>
          <w:p>
            <w:pPr>
              <w:ind w:left="9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50" w:type="dxa"/>
            <w:vAlign w:val="bottom"/>
          </w:tcPr>
          <w:p>
            <w:pPr>
              <w:spacing w:after="0"/>
              <w:rPr>
                <w:sz w:val="19"/>
                <w:szCs w:val="19"/>
                <w:color w:val="auto"/>
              </w:rPr>
            </w:pPr>
          </w:p>
        </w:tc>
        <w:tc>
          <w:tcPr>
            <w:tcW w:w="1170" w:type="dxa"/>
            <w:vAlign w:val="bottom"/>
          </w:tcPr>
          <w:p>
            <w:pPr>
              <w:jc w:val="right"/>
              <w:ind w:right="10"/>
              <w:spacing w:after="0"/>
              <w:rPr>
                <w:sz w:val="20"/>
                <w:szCs w:val="20"/>
                <w:color w:val="auto"/>
              </w:rPr>
            </w:pPr>
            <w:r>
              <w:rPr>
                <w:rFonts w:ascii="Arial" w:cs="Arial" w:eastAsia="Arial" w:hAnsi="Arial"/>
                <w:sz w:val="18"/>
                <w:szCs w:val="18"/>
                <w:color w:val="auto"/>
              </w:rPr>
              <w:t>2,209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ind w:left="8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2,209</w:t>
            </w:r>
          </w:p>
        </w:tc>
      </w:tr>
      <w:tr>
        <w:trPr>
          <w:trHeight w:val="230"/>
        </w:trPr>
        <w:tc>
          <w:tcPr>
            <w:tcW w:w="34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Asset backed securities</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 w:type="dxa"/>
            <w:vAlign w:val="bottom"/>
            <w:shd w:val="clear" w:color="auto" w:fill="CCEEFF"/>
          </w:tcPr>
          <w:p>
            <w:pPr>
              <w:spacing w:after="0"/>
              <w:rPr>
                <w:sz w:val="19"/>
                <w:szCs w:val="19"/>
                <w:color w:val="auto"/>
              </w:rPr>
            </w:pPr>
          </w:p>
        </w:tc>
        <w:tc>
          <w:tcPr>
            <w:tcW w:w="1150" w:type="dxa"/>
            <w:vAlign w:val="bottom"/>
            <w:shd w:val="clear" w:color="auto" w:fill="CCEEFF"/>
          </w:tcPr>
          <w:p>
            <w:pPr>
              <w:ind w:left="91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50" w:type="dxa"/>
            <w:vAlign w:val="bottom"/>
            <w:shd w:val="clear" w:color="auto" w:fill="CCEEFF"/>
          </w:tcPr>
          <w:p>
            <w:pPr>
              <w:spacing w:after="0"/>
              <w:rPr>
                <w:sz w:val="19"/>
                <w:szCs w:val="19"/>
                <w:color w:val="auto"/>
              </w:rPr>
            </w:pPr>
          </w:p>
        </w:tc>
        <w:tc>
          <w:tcPr>
            <w:tcW w:w="11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13,319</w:t>
            </w:r>
          </w:p>
        </w:tc>
      </w:tr>
      <w:tr>
        <w:trPr>
          <w:trHeight w:val="230"/>
        </w:trPr>
        <w:tc>
          <w:tcPr>
            <w:tcW w:w="344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Mutual funds</w:t>
            </w: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50" w:type="dxa"/>
            <w:vAlign w:val="bottom"/>
            <w:tcBorders>
              <w:bottom w:val="single" w:sz="8" w:color="auto"/>
            </w:tcBorders>
          </w:tcPr>
          <w:p>
            <w:pPr>
              <w:spacing w:after="0"/>
              <w:rPr>
                <w:sz w:val="19"/>
                <w:szCs w:val="19"/>
                <w:color w:val="auto"/>
              </w:rPr>
            </w:pPr>
          </w:p>
        </w:tc>
        <w:tc>
          <w:tcPr>
            <w:tcW w:w="1150" w:type="dxa"/>
            <w:vAlign w:val="bottom"/>
            <w:tcBorders>
              <w:bottom w:val="single" w:sz="8" w:color="auto"/>
            </w:tcBorders>
          </w:tcPr>
          <w:p>
            <w:pPr>
              <w:ind w:left="670"/>
              <w:spacing w:after="0"/>
              <w:rPr>
                <w:sz w:val="20"/>
                <w:szCs w:val="20"/>
                <w:color w:val="auto"/>
              </w:rPr>
            </w:pPr>
            <w:r>
              <w:rPr>
                <w:rFonts w:ascii="Arial" w:cs="Arial" w:eastAsia="Arial" w:hAnsi="Arial"/>
                <w:sz w:val="18"/>
                <w:szCs w:val="18"/>
                <w:color w:val="auto"/>
              </w:rPr>
              <w:t>3,752</w:t>
            </w:r>
          </w:p>
        </w:tc>
        <w:tc>
          <w:tcPr>
            <w:tcW w:w="140" w:type="dxa"/>
            <w:vAlign w:val="bottom"/>
            <w:tcBorders>
              <w:bottom w:val="single" w:sz="8" w:color="CCEEFF"/>
            </w:tcBorders>
          </w:tcPr>
          <w:p>
            <w:pPr>
              <w:spacing w:after="0"/>
              <w:rPr>
                <w:sz w:val="19"/>
                <w:szCs w:val="19"/>
                <w:color w:val="auto"/>
              </w:rPr>
            </w:pPr>
          </w:p>
        </w:tc>
        <w:tc>
          <w:tcPr>
            <w:tcW w:w="150" w:type="dxa"/>
            <w:vAlign w:val="bottom"/>
            <w:tcBorders>
              <w:bottom w:val="single" w:sz="8" w:color="auto"/>
            </w:tcBorders>
          </w:tcPr>
          <w:p>
            <w:pPr>
              <w:spacing w:after="0"/>
              <w:rPr>
                <w:sz w:val="19"/>
                <w:szCs w:val="19"/>
                <w:color w:val="auto"/>
              </w:rPr>
            </w:pPr>
          </w:p>
        </w:tc>
        <w:tc>
          <w:tcPr>
            <w:tcW w:w="117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ind w:left="8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3,752</w:t>
            </w:r>
          </w:p>
        </w:tc>
      </w:tr>
      <w:tr>
        <w:trPr>
          <w:trHeight w:val="223"/>
        </w:trPr>
        <w:tc>
          <w:tcPr>
            <w:tcW w:w="3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assets measured at fair value</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shd w:val="clear" w:color="auto" w:fill="CCEEFF"/>
              </w:rPr>
              <w:t>$</w:t>
            </w:r>
          </w:p>
        </w:tc>
        <w:tc>
          <w:tcPr>
            <w:tcW w:w="1150" w:type="dxa"/>
            <w:vAlign w:val="bottom"/>
            <w:tcBorders>
              <w:bottom w:val="single" w:sz="8" w:color="auto"/>
            </w:tcBorders>
            <w:shd w:val="clear" w:color="auto" w:fill="CCEEFF"/>
          </w:tcPr>
          <w:p>
            <w:pPr>
              <w:ind w:left="670"/>
              <w:spacing w:after="0"/>
              <w:rPr>
                <w:sz w:val="20"/>
                <w:szCs w:val="20"/>
                <w:color w:val="auto"/>
              </w:rPr>
            </w:pPr>
            <w:r>
              <w:rPr>
                <w:rFonts w:ascii="Arial" w:cs="Arial" w:eastAsia="Arial" w:hAnsi="Arial"/>
                <w:sz w:val="18"/>
                <w:szCs w:val="18"/>
                <w:color w:val="auto"/>
              </w:rPr>
              <w:t>3,752</w:t>
            </w:r>
          </w:p>
        </w:tc>
        <w:tc>
          <w:tcPr>
            <w:tcW w:w="140" w:type="dxa"/>
            <w:vAlign w:val="bottom"/>
            <w:shd w:val="clear" w:color="auto" w:fill="CCEEFF"/>
          </w:tcPr>
          <w:p>
            <w:pPr>
              <w:spacing w:after="0"/>
              <w:rPr>
                <w:sz w:val="19"/>
                <w:szCs w:val="19"/>
                <w:color w:val="auto"/>
              </w:rPr>
            </w:pPr>
          </w:p>
        </w:tc>
        <w:tc>
          <w:tcPr>
            <w:tcW w:w="15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w:t>
            </w:r>
          </w:p>
        </w:tc>
        <w:tc>
          <w:tcPr>
            <w:tcW w:w="117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115,429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99"/>
                <w:shd w:val="clear" w:color="auto" w:fill="CCEEFF"/>
              </w:rPr>
              <w:t>$</w:t>
            </w:r>
          </w:p>
        </w:tc>
        <w:tc>
          <w:tcPr>
            <w:tcW w:w="114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shd w:val="clear" w:color="auto" w:fill="CCEEFF"/>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119,181</w:t>
            </w:r>
          </w:p>
        </w:tc>
      </w:tr>
      <w:tr>
        <w:trPr>
          <w:trHeight w:val="20"/>
        </w:trPr>
        <w:tc>
          <w:tcPr>
            <w:tcW w:w="3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 w:type="dxa"/>
            <w:vAlign w:val="bottom"/>
            <w:tcBorders>
              <w:bottom w:val="single" w:sz="8" w:color="auto"/>
            </w:tcBorders>
          </w:tcPr>
          <w:p>
            <w:pPr>
              <w:spacing w:after="0" w:line="20" w:lineRule="exact"/>
              <w:rPr>
                <w:sz w:val="1"/>
                <w:szCs w:val="1"/>
                <w:color w:val="auto"/>
              </w:rPr>
            </w:pPr>
          </w:p>
        </w:tc>
        <w:tc>
          <w:tcPr>
            <w:tcW w:w="115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 w:type="dxa"/>
            <w:vAlign w:val="bottom"/>
            <w:tcBorders>
              <w:bottom w:val="single" w:sz="8" w:color="auto"/>
            </w:tcBorders>
          </w:tcPr>
          <w:p>
            <w:pPr>
              <w:spacing w:after="0" w:line="20" w:lineRule="exact"/>
              <w:rPr>
                <w:sz w:val="1"/>
                <w:szCs w:val="1"/>
                <w:color w:val="auto"/>
              </w:rPr>
            </w:pPr>
          </w:p>
        </w:tc>
        <w:tc>
          <w:tcPr>
            <w:tcW w:w="117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40"/>
        <w:spacing w:after="0" w:line="263" w:lineRule="auto"/>
        <w:rPr>
          <w:sz w:val="20"/>
          <w:szCs w:val="20"/>
          <w:color w:val="auto"/>
        </w:rPr>
      </w:pPr>
      <w:r>
        <w:rPr>
          <w:rFonts w:ascii="Arial" w:cs="Arial" w:eastAsia="Arial" w:hAnsi="Arial"/>
          <w:sz w:val="18"/>
          <w:szCs w:val="18"/>
          <w:color w:val="auto"/>
        </w:rPr>
        <w:t>Investment securities – available-for-sale classified as Level 2 consist of securities with maturities of three months or longer when purchased. We classified these securities as current because amounts invested are readily available for current operations. Observable inputs for these securities are yields, credit risks, default rates, and volatility.</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4 - Inventories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Inventories consisted of the following as of November 26, 2022 and May 28, 2022 (in thousands):</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0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November 26, 2022</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5"/>
              </w:rPr>
              <w:t>May 28, 2022</w:t>
            </w:r>
          </w:p>
        </w:tc>
      </w:tr>
      <w:tr>
        <w:trPr>
          <w:trHeight w:val="223"/>
        </w:trPr>
        <w:tc>
          <w:tcPr>
            <w:tcW w:w="6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Flocks, net of amortization</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156,782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144,051</w:t>
            </w:r>
          </w:p>
        </w:tc>
      </w:tr>
      <w:tr>
        <w:trPr>
          <w:trHeight w:val="230"/>
        </w:trPr>
        <w:tc>
          <w:tcPr>
            <w:tcW w:w="6040" w:type="dxa"/>
            <w:vAlign w:val="bottom"/>
          </w:tcPr>
          <w:p>
            <w:pPr>
              <w:ind w:left="40"/>
              <w:spacing w:after="0"/>
              <w:rPr>
                <w:sz w:val="20"/>
                <w:szCs w:val="20"/>
                <w:color w:val="auto"/>
              </w:rPr>
            </w:pPr>
            <w:r>
              <w:rPr>
                <w:rFonts w:ascii="Arial" w:cs="Arial" w:eastAsia="Arial" w:hAnsi="Arial"/>
                <w:sz w:val="18"/>
                <w:szCs w:val="18"/>
                <w:color w:val="auto"/>
              </w:rPr>
              <w:t>Eggs and egg products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28,343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26,936</w:t>
            </w:r>
          </w:p>
        </w:tc>
      </w:tr>
      <w:tr>
        <w:trPr>
          <w:trHeight w:val="230"/>
        </w:trPr>
        <w:tc>
          <w:tcPr>
            <w:tcW w:w="6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Feed and supplies</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95,457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92,329</w:t>
            </w:r>
          </w:p>
        </w:tc>
      </w:tr>
      <w:tr>
        <w:trPr>
          <w:trHeight w:val="223"/>
        </w:trPr>
        <w:tc>
          <w:tcPr>
            <w:tcW w:w="6040" w:type="dxa"/>
            <w:vAlign w:val="bottom"/>
          </w:tcPr>
          <w:p>
            <w:pPr>
              <w:spacing w:after="0"/>
              <w:rPr>
                <w:sz w:val="19"/>
                <w:szCs w:val="19"/>
                <w:color w:val="auto"/>
              </w:rPr>
            </w:pPr>
          </w:p>
        </w:tc>
        <w:tc>
          <w:tcPr>
            <w:tcW w:w="240" w:type="dxa"/>
            <w:vAlign w:val="bottom"/>
            <w:gridSpan w:val="3"/>
          </w:tcPr>
          <w:p>
            <w:pPr>
              <w:ind w:left="8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280,582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263,316</w:t>
            </w:r>
          </w:p>
        </w:tc>
      </w:tr>
      <w:tr>
        <w:trPr>
          <w:trHeight w:val="20"/>
        </w:trPr>
        <w:tc>
          <w:tcPr>
            <w:tcW w:w="6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left="40"/>
        <w:spacing w:after="0" w:line="259" w:lineRule="auto"/>
        <w:rPr>
          <w:sz w:val="20"/>
          <w:szCs w:val="20"/>
          <w:color w:val="auto"/>
        </w:rPr>
      </w:pPr>
      <w:r>
        <w:rPr>
          <w:rFonts w:ascii="Arial" w:cs="Arial" w:eastAsia="Arial" w:hAnsi="Arial"/>
          <w:sz w:val="18"/>
          <w:szCs w:val="18"/>
          <w:color w:val="auto"/>
        </w:rPr>
        <w:t>We grow and maintain flocks of layers (mature female chickens), pullets (female chickens, under 18 weeks of age), and breeders (male and female chickens used to produce fertile eggs to hatch for egg production flocks). Our total flock at November 26, 2022 and May 28, 2022 consisted of approximately 10.4 million and 11.5 million pullets and breeders and 43.7 million and 42.2 million layers, respectively.</w:t>
      </w:r>
    </w:p>
    <w:p>
      <w:pPr>
        <w:sectPr>
          <w:pgSz w:w="11900" w:h="16838" w:orient="portrait"/>
          <w:cols w:equalWidth="0" w:num="1">
            <w:col w:w="9280"/>
          </w:cols>
          <w:pgMar w:left="1280" w:top="315"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9280"/>
          </w:cols>
          <w:pgMar w:left="1280" w:top="315" w:right="1339" w:bottom="1440" w:gutter="0" w:footer="0" w:header="0"/>
          <w:type w:val="continuous"/>
        </w:sectPr>
      </w:pPr>
    </w:p>
    <w:bookmarkStart w:id="10" w:name="page11"/>
    <w:bookmarkEnd w:id="10"/>
    <w:p>
      <w:pPr>
        <w:jc w:val="center"/>
        <w:ind w:right="-19"/>
        <w:spacing w:after="0"/>
        <w:rPr>
          <w:sz w:val="20"/>
          <w:szCs w:val="20"/>
          <w:color w:val="auto"/>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Equity</w:t>
      </w:r>
    </w:p>
    <w:p>
      <w:pPr>
        <w:spacing w:after="0" w:line="229"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The following reflects equity activity for the thirteen and twenty-six weeks ended November 26, 2022 and November 27, 2021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gridSpan w:val="19"/>
          </w:tcPr>
          <w:p>
            <w:pPr>
              <w:spacing w:after="0"/>
              <w:rPr>
                <w:sz w:val="20"/>
                <w:szCs w:val="20"/>
                <w:color w:val="auto"/>
              </w:rPr>
            </w:pPr>
            <w:r>
              <w:rPr>
                <w:rFonts w:ascii="Arial" w:cs="Arial" w:eastAsia="Arial" w:hAnsi="Arial"/>
                <w:sz w:val="18"/>
                <w:szCs w:val="18"/>
                <w:color w:val="auto"/>
                <w:w w:val="91"/>
              </w:rPr>
              <w:t>Thirteen Weeks Ended November 26, 2022</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15"/>
          </w:tcPr>
          <w:p>
            <w:pPr>
              <w:jc w:val="right"/>
              <w:ind w:right="210"/>
              <w:spacing w:after="0"/>
              <w:rPr>
                <w:sz w:val="20"/>
                <w:szCs w:val="20"/>
                <w:color w:val="auto"/>
              </w:rPr>
            </w:pPr>
            <w:r>
              <w:rPr>
                <w:rFonts w:ascii="Arial" w:cs="Arial" w:eastAsia="Arial" w:hAnsi="Arial"/>
                <w:sz w:val="18"/>
                <w:szCs w:val="18"/>
                <w:color w:val="auto"/>
                <w:w w:val="91"/>
              </w:rPr>
              <w:t>Cal-Maine Foods, Inc. Stockholders</w:t>
            </w: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8"/>
          </w:tcPr>
          <w:p>
            <w:pPr>
              <w:ind w:left="160"/>
              <w:spacing w:after="0"/>
              <w:rPr>
                <w:sz w:val="20"/>
                <w:szCs w:val="20"/>
                <w:color w:val="auto"/>
              </w:rPr>
            </w:pPr>
            <w:r>
              <w:rPr>
                <w:rFonts w:ascii="Arial" w:cs="Arial" w:eastAsia="Arial" w:hAnsi="Arial"/>
                <w:sz w:val="18"/>
                <w:szCs w:val="18"/>
                <w:color w:val="auto"/>
              </w:rPr>
              <w:t>Common Stock</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gridSpan w:val="3"/>
            <w:vMerge w:val="restart"/>
          </w:tcPr>
          <w:p>
            <w:pPr>
              <w:jc w:val="center"/>
              <w:spacing w:after="0"/>
              <w:rPr>
                <w:sz w:val="20"/>
                <w:szCs w:val="20"/>
                <w:color w:val="auto"/>
              </w:rPr>
            </w:pPr>
            <w:r>
              <w:rPr>
                <w:rFonts w:ascii="Arial" w:cs="Arial" w:eastAsia="Arial" w:hAnsi="Arial"/>
                <w:sz w:val="18"/>
                <w:szCs w:val="18"/>
                <w:color w:val="auto"/>
                <w:w w:val="90"/>
              </w:rPr>
              <w:t>Accum. Other</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gridSpan w:val="4"/>
            <w:vMerge w:val="restart"/>
          </w:tcPr>
          <w:p>
            <w:pPr>
              <w:ind w:left="20"/>
              <w:spacing w:after="0"/>
              <w:rPr>
                <w:sz w:val="20"/>
                <w:szCs w:val="20"/>
                <w:color w:val="auto"/>
              </w:rPr>
            </w:pPr>
            <w:r>
              <w:rPr>
                <w:rFonts w:ascii="Arial" w:cs="Arial" w:eastAsia="Arial" w:hAnsi="Arial"/>
                <w:sz w:val="18"/>
                <w:szCs w:val="18"/>
                <w:color w:val="auto"/>
              </w:rPr>
              <w:t>Retained</w:t>
            </w:r>
          </w:p>
        </w:tc>
        <w:tc>
          <w:tcPr>
            <w:tcW w:w="1120" w:type="dxa"/>
            <w:vAlign w:val="bottom"/>
            <w:gridSpan w:val="2"/>
            <w:vMerge w:val="restart"/>
          </w:tcPr>
          <w:p>
            <w:pPr>
              <w:spacing w:after="0"/>
              <w:rPr>
                <w:sz w:val="20"/>
                <w:szCs w:val="20"/>
                <w:color w:val="auto"/>
              </w:rPr>
            </w:pPr>
            <w:r>
              <w:rPr>
                <w:rFonts w:ascii="Arial" w:cs="Arial" w:eastAsia="Arial" w:hAnsi="Arial"/>
                <w:sz w:val="18"/>
                <w:szCs w:val="18"/>
                <w:color w:val="auto"/>
                <w:w w:val="95"/>
              </w:rPr>
              <w:t>Noncontrolling</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gridSpan w:val="4"/>
          </w:tcPr>
          <w:p>
            <w:pPr>
              <w:ind w:left="80"/>
              <w:spacing w:after="0"/>
              <w:rPr>
                <w:sz w:val="20"/>
                <w:szCs w:val="20"/>
                <w:color w:val="auto"/>
              </w:rPr>
            </w:pPr>
            <w:r>
              <w:rPr>
                <w:rFonts w:ascii="Arial" w:cs="Arial" w:eastAsia="Arial" w:hAnsi="Arial"/>
                <w:sz w:val="18"/>
                <w:szCs w:val="18"/>
                <w:color w:val="auto"/>
                <w:w w:val="99"/>
              </w:rPr>
              <w:t>Class A</w:t>
            </w:r>
          </w:p>
        </w:tc>
        <w:tc>
          <w:tcPr>
            <w:tcW w:w="20" w:type="dxa"/>
            <w:vAlign w:val="bottom"/>
          </w:tcPr>
          <w:p>
            <w:pPr>
              <w:spacing w:after="0"/>
              <w:rPr>
                <w:sz w:val="19"/>
                <w:szCs w:val="19"/>
                <w:color w:val="auto"/>
              </w:rPr>
            </w:pPr>
          </w:p>
        </w:tc>
        <w:tc>
          <w:tcPr>
            <w:tcW w:w="860" w:type="dxa"/>
            <w:vAlign w:val="bottom"/>
            <w:gridSpan w:val="4"/>
          </w:tcPr>
          <w:p>
            <w:pPr>
              <w:jc w:val="center"/>
              <w:ind w:right="20"/>
              <w:spacing w:after="0"/>
              <w:rPr>
                <w:sz w:val="20"/>
                <w:szCs w:val="20"/>
                <w:color w:val="auto"/>
              </w:rPr>
            </w:pPr>
            <w:r>
              <w:rPr>
                <w:rFonts w:ascii="Arial" w:cs="Arial" w:eastAsia="Arial" w:hAnsi="Arial"/>
                <w:sz w:val="18"/>
                <w:szCs w:val="18"/>
                <w:color w:val="auto"/>
                <w:w w:val="90"/>
              </w:rPr>
              <w:t>Treasury</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Paid In</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gridSpan w:val="4"/>
            <w:vMerge w:val="continue"/>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gridSpan w:val="3"/>
          </w:tcPr>
          <w:p>
            <w:pPr>
              <w:ind w:left="60"/>
              <w:spacing w:after="0"/>
              <w:rPr>
                <w:sz w:val="20"/>
                <w:szCs w:val="20"/>
                <w:color w:val="auto"/>
              </w:rPr>
            </w:pPr>
            <w:r>
              <w:rPr>
                <w:rFonts w:ascii="Arial" w:cs="Arial" w:eastAsia="Arial" w:hAnsi="Arial"/>
                <w:sz w:val="18"/>
                <w:szCs w:val="18"/>
                <w:color w:val="auto"/>
                <w:w w:val="99"/>
              </w:rPr>
              <w:t>Amount</w:t>
            </w:r>
          </w:p>
        </w:tc>
        <w:tc>
          <w:tcPr>
            <w:tcW w:w="20" w:type="dxa"/>
            <w:vAlign w:val="bottom"/>
          </w:tcPr>
          <w:p>
            <w:pPr>
              <w:spacing w:after="0"/>
              <w:rPr>
                <w:sz w:val="18"/>
                <w:szCs w:val="18"/>
                <w:color w:val="auto"/>
              </w:rPr>
            </w:pPr>
          </w:p>
        </w:tc>
        <w:tc>
          <w:tcPr>
            <w:tcW w:w="720" w:type="dxa"/>
            <w:vAlign w:val="bottom"/>
            <w:gridSpan w:val="4"/>
          </w:tcPr>
          <w:p>
            <w:pPr>
              <w:ind w:left="60"/>
              <w:spacing w:after="0"/>
              <w:rPr>
                <w:sz w:val="20"/>
                <w:szCs w:val="20"/>
                <w:color w:val="auto"/>
              </w:rPr>
            </w:pPr>
            <w:r>
              <w:rPr>
                <w:rFonts w:ascii="Arial" w:cs="Arial" w:eastAsia="Arial" w:hAnsi="Arial"/>
                <w:sz w:val="18"/>
                <w:szCs w:val="18"/>
                <w:color w:val="auto"/>
              </w:rPr>
              <w:t>Amount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3"/>
          </w:tcPr>
          <w:p>
            <w:pPr>
              <w:jc w:val="center"/>
              <w:ind w:right="120"/>
              <w:spacing w:after="0"/>
              <w:rPr>
                <w:sz w:val="20"/>
                <w:szCs w:val="20"/>
                <w:color w:val="auto"/>
              </w:rPr>
            </w:pPr>
            <w:r>
              <w:rPr>
                <w:rFonts w:ascii="Arial" w:cs="Arial" w:eastAsia="Arial" w:hAnsi="Arial"/>
                <w:sz w:val="18"/>
                <w:szCs w:val="18"/>
                <w:color w:val="auto"/>
                <w:w w:val="93"/>
              </w:rPr>
              <w:t>Amount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Capital</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jc w:val="center"/>
              <w:ind w:right="10"/>
              <w:spacing w:after="0"/>
              <w:rPr>
                <w:sz w:val="20"/>
                <w:szCs w:val="20"/>
                <w:color w:val="auto"/>
              </w:rPr>
            </w:pPr>
            <w:r>
              <w:rPr>
                <w:rFonts w:ascii="Arial" w:cs="Arial" w:eastAsia="Arial" w:hAnsi="Arial"/>
                <w:sz w:val="18"/>
                <w:szCs w:val="18"/>
                <w:color w:val="auto"/>
                <w:w w:val="89"/>
              </w:rPr>
              <w:t>Comp. Loss</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gridSpan w:val="4"/>
          </w:tcPr>
          <w:p>
            <w:pPr>
              <w:ind w:left="20"/>
              <w:spacing w:after="0"/>
              <w:rPr>
                <w:sz w:val="20"/>
                <w:szCs w:val="20"/>
                <w:color w:val="auto"/>
              </w:rPr>
            </w:pPr>
            <w:r>
              <w:rPr>
                <w:rFonts w:ascii="Arial" w:cs="Arial" w:eastAsia="Arial" w:hAnsi="Arial"/>
                <w:sz w:val="18"/>
                <w:szCs w:val="18"/>
                <w:color w:val="auto"/>
              </w:rPr>
              <w:t>Earnings</w:t>
            </w:r>
          </w:p>
        </w:tc>
        <w:tc>
          <w:tcPr>
            <w:tcW w:w="140" w:type="dxa"/>
            <w:vAlign w:val="bottom"/>
          </w:tcPr>
          <w:p>
            <w:pPr>
              <w:spacing w:after="0"/>
              <w:rPr>
                <w:sz w:val="18"/>
                <w:szCs w:val="18"/>
                <w:color w:val="auto"/>
              </w:rPr>
            </w:pPr>
          </w:p>
        </w:tc>
        <w:tc>
          <w:tcPr>
            <w:tcW w:w="980" w:type="dxa"/>
            <w:vAlign w:val="bottom"/>
          </w:tcPr>
          <w:p>
            <w:pPr>
              <w:jc w:val="right"/>
              <w:ind w:right="131"/>
              <w:spacing w:after="0"/>
              <w:rPr>
                <w:sz w:val="20"/>
                <w:szCs w:val="20"/>
                <w:color w:val="auto"/>
              </w:rPr>
            </w:pPr>
            <w:r>
              <w:rPr>
                <w:rFonts w:ascii="Arial" w:cs="Arial" w:eastAsia="Arial" w:hAnsi="Arial"/>
                <w:sz w:val="18"/>
                <w:szCs w:val="18"/>
                <w:color w:val="auto"/>
              </w:rPr>
              <w:t>Interest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50"/>
        </w:trPr>
        <w:tc>
          <w:tcPr>
            <w:tcW w:w="40" w:type="dxa"/>
            <w:vAlign w:val="bottom"/>
            <w:tcBorders>
              <w:top w:val="single" w:sz="8" w:color="CCEEFF"/>
            </w:tcBorders>
            <w:shd w:val="clear" w:color="auto" w:fill="CCEEFF"/>
          </w:tcPr>
          <w:p>
            <w:pPr>
              <w:spacing w:after="0"/>
              <w:rPr>
                <w:sz w:val="21"/>
                <w:szCs w:val="21"/>
                <w:color w:val="auto"/>
              </w:rPr>
            </w:pPr>
          </w:p>
        </w:tc>
        <w:tc>
          <w:tcPr>
            <w:tcW w:w="1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August</w:t>
            </w:r>
          </w:p>
        </w:tc>
        <w:tc>
          <w:tcPr>
            <w:tcW w:w="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560" w:type="dxa"/>
            <w:vAlign w:val="bottom"/>
            <w:tcBorders>
              <w:top w:val="single" w:sz="8" w:color="auto"/>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48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64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660" w:type="dxa"/>
            <w:vAlign w:val="bottom"/>
            <w:tcBorders>
              <w:top w:val="single" w:sz="8" w:color="auto"/>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40" w:type="dxa"/>
            <w:vAlign w:val="bottom"/>
            <w:tcBorders>
              <w:top w:val="single" w:sz="8" w:color="auto"/>
            </w:tcBorders>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84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27, 2022</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703</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w w:val="79"/>
              </w:rPr>
              <w:t>48</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shd w:val="clear" w:color="auto" w:fill="CCEEFF"/>
              </w:rPr>
              <w:t>(28,495)</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shd w:val="clear" w:color="auto" w:fill="CCEEFF"/>
              </w:rPr>
              <w:t>$</w:t>
            </w:r>
          </w:p>
        </w:tc>
        <w:tc>
          <w:tcPr>
            <w:tcW w:w="6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98"/>
                <w:shd w:val="clear" w:color="auto" w:fill="CCEEFF"/>
              </w:rPr>
              <w:t>69,017</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(2,350)</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4"/>
                <w:shd w:val="clear" w:color="auto" w:fill="CCEEFF"/>
              </w:rPr>
              <w:t>1,149,399</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shd w:val="clear" w:color="auto" w:fill="CCEEFF"/>
              </w:rPr>
              <w:t>$</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(359)</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shd w:val="clear" w:color="auto" w:fill="CCEEFF"/>
              </w:rPr>
              <w:t>$</w:t>
            </w:r>
          </w:p>
        </w:tc>
        <w:tc>
          <w:tcPr>
            <w:tcW w:w="8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89"/>
                <w:shd w:val="clear" w:color="auto" w:fill="CCEEFF"/>
              </w:rPr>
              <w:t>1,187,963</w:t>
            </w:r>
          </w:p>
        </w:tc>
        <w:tc>
          <w:tcPr>
            <w:tcW w:w="0" w:type="dxa"/>
            <w:vAlign w:val="bottom"/>
          </w:tcPr>
          <w:p>
            <w:pPr>
              <w:spacing w:after="0"/>
              <w:rPr>
                <w:sz w:val="1"/>
                <w:szCs w:val="1"/>
                <w:color w:val="auto"/>
              </w:rPr>
            </w:pPr>
          </w:p>
        </w:tc>
      </w:tr>
      <w:tr>
        <w:trPr>
          <w:trHeight w:val="229"/>
        </w:trPr>
        <w:tc>
          <w:tcPr>
            <w:tcW w:w="1640" w:type="dxa"/>
            <w:vAlign w:val="bottom"/>
            <w:gridSpan w:val="3"/>
          </w:tcPr>
          <w:p>
            <w:pPr>
              <w:ind w:left="40"/>
              <w:spacing w:after="0"/>
              <w:rPr>
                <w:sz w:val="20"/>
                <w:szCs w:val="20"/>
                <w:color w:val="auto"/>
              </w:rPr>
            </w:pPr>
            <w:r>
              <w:rPr>
                <w:rFonts w:ascii="Arial" w:cs="Arial" w:eastAsia="Arial" w:hAnsi="Arial"/>
                <w:sz w:val="18"/>
                <w:szCs w:val="18"/>
                <w:color w:val="auto"/>
                <w:w w:val="91"/>
              </w:rPr>
              <w:t>Other comprehensive</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640" w:type="dxa"/>
            <w:vAlign w:val="bottom"/>
            <w:gridSpan w:val="3"/>
          </w:tcPr>
          <w:p>
            <w:pPr>
              <w:ind w:left="40"/>
              <w:spacing w:after="0"/>
              <w:rPr>
                <w:sz w:val="20"/>
                <w:szCs w:val="20"/>
                <w:color w:val="auto"/>
              </w:rPr>
            </w:pPr>
            <w:r>
              <w:rPr>
                <w:rFonts w:ascii="Arial" w:cs="Arial" w:eastAsia="Arial" w:hAnsi="Arial"/>
                <w:sz w:val="18"/>
                <w:szCs w:val="18"/>
                <w:color w:val="auto"/>
              </w:rPr>
              <w:t>loss, net of tax</w:t>
            </w:r>
          </w:p>
        </w:tc>
        <w:tc>
          <w:tcPr>
            <w:tcW w:w="120" w:type="dxa"/>
            <w:vAlign w:val="bottom"/>
          </w:tcPr>
          <w:p>
            <w:pPr>
              <w:spacing w:after="0"/>
              <w:rPr>
                <w:sz w:val="18"/>
                <w:szCs w:val="18"/>
                <w:color w:val="auto"/>
              </w:rPr>
            </w:pPr>
          </w:p>
        </w:tc>
        <w:tc>
          <w:tcPr>
            <w:tcW w:w="5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(737)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gridSpan w:val="4"/>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w w:val="96"/>
              </w:rPr>
              <w:t>Stock compensation</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plan transactions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w w:val="88"/>
              </w:rPr>
              <w:t>—</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988</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60" w:type="dxa"/>
            <w:vAlign w:val="bottom"/>
            <w:gridSpan w:val="2"/>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243"/>
        </w:trPr>
        <w:tc>
          <w:tcPr>
            <w:tcW w:w="1640" w:type="dxa"/>
            <w:vAlign w:val="bottom"/>
            <w:gridSpan w:val="3"/>
          </w:tcPr>
          <w:p>
            <w:pPr>
              <w:ind w:left="40"/>
              <w:spacing w:after="0"/>
              <w:rPr>
                <w:sz w:val="20"/>
                <w:szCs w:val="20"/>
                <w:color w:val="auto"/>
              </w:rPr>
            </w:pPr>
            <w:r>
              <w:rPr>
                <w:rFonts w:ascii="Arial" w:cs="Arial" w:eastAsia="Arial" w:hAnsi="Arial"/>
                <w:sz w:val="18"/>
                <w:szCs w:val="18"/>
                <w:color w:val="auto"/>
              </w:rPr>
              <w:t>Dividends ($1.353</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640" w:type="dxa"/>
            <w:vAlign w:val="bottom"/>
            <w:gridSpan w:val="3"/>
          </w:tcPr>
          <w:p>
            <w:pPr>
              <w:ind w:left="40"/>
              <w:spacing w:after="0"/>
              <w:rPr>
                <w:sz w:val="20"/>
                <w:szCs w:val="20"/>
                <w:color w:val="auto"/>
              </w:rPr>
            </w:pPr>
            <w:r>
              <w:rPr>
                <w:rFonts w:ascii="Arial" w:cs="Arial" w:eastAsia="Arial" w:hAnsi="Arial"/>
                <w:sz w:val="18"/>
                <w:szCs w:val="18"/>
                <w:color w:val="auto"/>
              </w:rPr>
              <w:t>per share)</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1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Common</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ind w:left="300"/>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(59,708)</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(59,708)</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600" w:type="dxa"/>
            <w:vAlign w:val="bottom"/>
            <w:gridSpan w:val="2"/>
          </w:tcPr>
          <w:p>
            <w:pPr>
              <w:ind w:left="120"/>
              <w:spacing w:after="0"/>
              <w:rPr>
                <w:sz w:val="20"/>
                <w:szCs w:val="20"/>
                <w:color w:val="auto"/>
              </w:rPr>
            </w:pPr>
            <w:r>
              <w:rPr>
                <w:rFonts w:ascii="Arial" w:cs="Arial" w:eastAsia="Arial" w:hAnsi="Arial"/>
                <w:sz w:val="18"/>
                <w:szCs w:val="18"/>
                <w:color w:val="auto"/>
              </w:rPr>
              <w:t>Class A common</w:t>
            </w:r>
          </w:p>
        </w:tc>
        <w:tc>
          <w:tcPr>
            <w:tcW w:w="120" w:type="dxa"/>
            <w:vAlign w:val="bottom"/>
          </w:tcPr>
          <w:p>
            <w:pPr>
              <w:spacing w:after="0"/>
              <w:rPr>
                <w:sz w:val="19"/>
                <w:szCs w:val="19"/>
                <w:color w:val="auto"/>
              </w:rPr>
            </w:pPr>
          </w:p>
        </w:tc>
        <w:tc>
          <w:tcPr>
            <w:tcW w:w="5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(6,494)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(6,494)</w:t>
            </w: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88"/>
              </w:rPr>
              <w:t>—</w:t>
            </w:r>
          </w:p>
        </w:tc>
        <w:tc>
          <w:tcPr>
            <w:tcW w:w="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198,587</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198,294</w:t>
            </w:r>
          </w:p>
        </w:tc>
        <w:tc>
          <w:tcPr>
            <w:tcW w:w="0" w:type="dxa"/>
            <w:vAlign w:val="bottom"/>
          </w:tcPr>
          <w:p>
            <w:pPr>
              <w:spacing w:after="0"/>
              <w:rPr>
                <w:sz w:val="1"/>
                <w:szCs w:val="1"/>
                <w:color w:val="auto"/>
              </w:rPr>
            </w:pPr>
          </w:p>
        </w:tc>
      </w:tr>
      <w:tr>
        <w:trPr>
          <w:trHeight w:val="236"/>
        </w:trPr>
        <w:tc>
          <w:tcPr>
            <w:tcW w:w="1640" w:type="dxa"/>
            <w:vAlign w:val="bottom"/>
            <w:gridSpan w:val="3"/>
          </w:tcPr>
          <w:p>
            <w:pPr>
              <w:ind w:left="40"/>
              <w:spacing w:after="0"/>
              <w:rPr>
                <w:sz w:val="20"/>
                <w:szCs w:val="20"/>
                <w:color w:val="auto"/>
              </w:rPr>
            </w:pPr>
            <w:r>
              <w:rPr>
                <w:rFonts w:ascii="Arial" w:cs="Arial" w:eastAsia="Arial" w:hAnsi="Arial"/>
                <w:sz w:val="18"/>
                <w:szCs w:val="18"/>
                <w:color w:val="auto"/>
                <w:w w:val="91"/>
              </w:rPr>
              <w:t>Balance at November</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26, 2022</w:t>
            </w:r>
          </w:p>
        </w:tc>
        <w:tc>
          <w:tcPr>
            <w:tcW w:w="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703</w:t>
            </w:r>
          </w:p>
        </w:tc>
        <w:tc>
          <w:tcPr>
            <w:tcW w:w="2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300"/>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(28,496)</w:t>
            </w:r>
          </w:p>
        </w:tc>
        <w:tc>
          <w:tcPr>
            <w:tcW w:w="2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w w:val="98"/>
              </w:rPr>
              <w:t>70,005</w:t>
            </w:r>
          </w:p>
        </w:tc>
        <w:tc>
          <w:tcPr>
            <w:tcW w:w="16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(3,087)</w:t>
            </w:r>
          </w:p>
        </w:tc>
        <w:tc>
          <w:tcPr>
            <w:tcW w:w="1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99"/>
              </w:rPr>
              <w:t>1,281,784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(652)</w:t>
            </w: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w w:val="89"/>
              </w:rPr>
              <w:t>1,320,305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19"/>
          </w:tcPr>
          <w:p>
            <w:pPr>
              <w:spacing w:after="0"/>
              <w:rPr>
                <w:sz w:val="20"/>
                <w:szCs w:val="20"/>
                <w:color w:val="auto"/>
              </w:rPr>
            </w:pPr>
            <w:r>
              <w:rPr>
                <w:rFonts w:ascii="Arial" w:cs="Arial" w:eastAsia="Arial" w:hAnsi="Arial"/>
                <w:sz w:val="18"/>
                <w:szCs w:val="18"/>
                <w:color w:val="auto"/>
                <w:w w:val="91"/>
              </w:rPr>
              <w:t>Thirteen Weeks Ended November 27, 2021</w:t>
            </w: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15"/>
          </w:tcPr>
          <w:p>
            <w:pPr>
              <w:jc w:val="right"/>
              <w:ind w:right="210"/>
              <w:spacing w:after="0"/>
              <w:rPr>
                <w:sz w:val="20"/>
                <w:szCs w:val="20"/>
                <w:color w:val="auto"/>
              </w:rPr>
            </w:pPr>
            <w:r>
              <w:rPr>
                <w:rFonts w:ascii="Arial" w:cs="Arial" w:eastAsia="Arial" w:hAnsi="Arial"/>
                <w:sz w:val="18"/>
                <w:szCs w:val="18"/>
                <w:color w:val="auto"/>
                <w:w w:val="91"/>
              </w:rPr>
              <w:t>Cal-Maine Foods, Inc. Stockholders</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8"/>
          </w:tcPr>
          <w:p>
            <w:pPr>
              <w:ind w:left="140"/>
              <w:spacing w:after="0"/>
              <w:rPr>
                <w:sz w:val="20"/>
                <w:szCs w:val="20"/>
                <w:color w:val="auto"/>
              </w:rPr>
            </w:pPr>
            <w:r>
              <w:rPr>
                <w:rFonts w:ascii="Arial" w:cs="Arial" w:eastAsia="Arial" w:hAnsi="Arial"/>
                <w:sz w:val="18"/>
                <w:szCs w:val="18"/>
                <w:color w:val="auto"/>
              </w:rPr>
              <w:t>Common Stock</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gridSpan w:val="4"/>
          </w:tcPr>
          <w:p>
            <w:pPr>
              <w:ind w:left="60"/>
              <w:spacing w:after="0"/>
              <w:rPr>
                <w:sz w:val="20"/>
                <w:szCs w:val="20"/>
                <w:color w:val="auto"/>
              </w:rPr>
            </w:pPr>
            <w:r>
              <w:rPr>
                <w:rFonts w:ascii="Arial" w:cs="Arial" w:eastAsia="Arial" w:hAnsi="Arial"/>
                <w:sz w:val="18"/>
                <w:szCs w:val="18"/>
                <w:color w:val="auto"/>
              </w:rPr>
              <w:t>Class A</w:t>
            </w:r>
          </w:p>
        </w:tc>
        <w:tc>
          <w:tcPr>
            <w:tcW w:w="20" w:type="dxa"/>
            <w:vAlign w:val="bottom"/>
          </w:tcPr>
          <w:p>
            <w:pPr>
              <w:spacing w:after="0"/>
              <w:rPr>
                <w:sz w:val="20"/>
                <w:szCs w:val="20"/>
                <w:color w:val="auto"/>
              </w:rPr>
            </w:pPr>
          </w:p>
        </w:tc>
        <w:tc>
          <w:tcPr>
            <w:tcW w:w="860" w:type="dxa"/>
            <w:vAlign w:val="bottom"/>
            <w:gridSpan w:val="4"/>
          </w:tcPr>
          <w:p>
            <w:pPr>
              <w:jc w:val="center"/>
              <w:ind w:right="40"/>
              <w:spacing w:after="0"/>
              <w:rPr>
                <w:sz w:val="20"/>
                <w:szCs w:val="20"/>
                <w:color w:val="auto"/>
              </w:rPr>
            </w:pPr>
            <w:r>
              <w:rPr>
                <w:rFonts w:ascii="Arial" w:cs="Arial" w:eastAsia="Arial" w:hAnsi="Arial"/>
                <w:sz w:val="18"/>
                <w:szCs w:val="18"/>
                <w:color w:val="auto"/>
                <w:w w:val="87"/>
              </w:rPr>
              <w:t>Treasury</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Paid In</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gridSpan w:val="3"/>
          </w:tcPr>
          <w:p>
            <w:pPr>
              <w:jc w:val="center"/>
              <w:spacing w:after="0"/>
              <w:rPr>
                <w:sz w:val="20"/>
                <w:szCs w:val="20"/>
                <w:color w:val="auto"/>
              </w:rPr>
            </w:pPr>
            <w:r>
              <w:rPr>
                <w:rFonts w:ascii="Arial" w:cs="Arial" w:eastAsia="Arial" w:hAnsi="Arial"/>
                <w:sz w:val="18"/>
                <w:szCs w:val="18"/>
                <w:color w:val="auto"/>
                <w:w w:val="92"/>
              </w:rPr>
              <w:t>Accum. Other</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gridSpan w:val="4"/>
          </w:tcPr>
          <w:p>
            <w:pPr>
              <w:ind w:left="20"/>
              <w:spacing w:after="0"/>
              <w:rPr>
                <w:sz w:val="20"/>
                <w:szCs w:val="20"/>
                <w:color w:val="auto"/>
              </w:rPr>
            </w:pPr>
            <w:r>
              <w:rPr>
                <w:rFonts w:ascii="Arial" w:cs="Arial" w:eastAsia="Arial" w:hAnsi="Arial"/>
                <w:sz w:val="18"/>
                <w:szCs w:val="18"/>
                <w:color w:val="auto"/>
              </w:rPr>
              <w:t>Retained</w:t>
            </w:r>
          </w:p>
        </w:tc>
        <w:tc>
          <w:tcPr>
            <w:tcW w:w="1120" w:type="dxa"/>
            <w:vAlign w:val="bottom"/>
            <w:gridSpan w:val="2"/>
          </w:tcPr>
          <w:p>
            <w:pPr>
              <w:spacing w:after="0"/>
              <w:rPr>
                <w:sz w:val="20"/>
                <w:szCs w:val="20"/>
                <w:color w:val="auto"/>
              </w:rPr>
            </w:pPr>
            <w:r>
              <w:rPr>
                <w:rFonts w:ascii="Arial" w:cs="Arial" w:eastAsia="Arial" w:hAnsi="Arial"/>
                <w:sz w:val="18"/>
                <w:szCs w:val="18"/>
                <w:color w:val="auto"/>
                <w:w w:val="95"/>
              </w:rPr>
              <w:t>Noncontrolling</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gridSpan w:val="3"/>
          </w:tcPr>
          <w:p>
            <w:pPr>
              <w:ind w:left="40"/>
              <w:spacing w:after="0"/>
              <w:rPr>
                <w:sz w:val="20"/>
                <w:szCs w:val="20"/>
                <w:color w:val="auto"/>
              </w:rPr>
            </w:pPr>
            <w:r>
              <w:rPr>
                <w:rFonts w:ascii="Arial" w:cs="Arial" w:eastAsia="Arial" w:hAnsi="Arial"/>
                <w:sz w:val="18"/>
                <w:szCs w:val="18"/>
                <w:color w:val="auto"/>
              </w:rPr>
              <w:t>Amount</w:t>
            </w:r>
          </w:p>
        </w:tc>
        <w:tc>
          <w:tcPr>
            <w:tcW w:w="20" w:type="dxa"/>
            <w:vAlign w:val="bottom"/>
          </w:tcPr>
          <w:p>
            <w:pPr>
              <w:spacing w:after="0"/>
              <w:rPr>
                <w:sz w:val="18"/>
                <w:szCs w:val="18"/>
                <w:color w:val="auto"/>
              </w:rPr>
            </w:pPr>
          </w:p>
        </w:tc>
        <w:tc>
          <w:tcPr>
            <w:tcW w:w="720" w:type="dxa"/>
            <w:vAlign w:val="bottom"/>
            <w:gridSpan w:val="4"/>
          </w:tcPr>
          <w:p>
            <w:pPr>
              <w:ind w:left="60"/>
              <w:spacing w:after="0"/>
              <w:rPr>
                <w:sz w:val="20"/>
                <w:szCs w:val="20"/>
                <w:color w:val="auto"/>
              </w:rPr>
            </w:pPr>
            <w:r>
              <w:rPr>
                <w:rFonts w:ascii="Arial" w:cs="Arial" w:eastAsia="Arial" w:hAnsi="Arial"/>
                <w:sz w:val="18"/>
                <w:szCs w:val="18"/>
                <w:color w:val="auto"/>
              </w:rPr>
              <w:t>Amount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3"/>
          </w:tcPr>
          <w:p>
            <w:pPr>
              <w:jc w:val="center"/>
              <w:ind w:right="160"/>
              <w:spacing w:after="0"/>
              <w:rPr>
                <w:sz w:val="20"/>
                <w:szCs w:val="20"/>
                <w:color w:val="auto"/>
              </w:rPr>
            </w:pPr>
            <w:r>
              <w:rPr>
                <w:rFonts w:ascii="Arial" w:cs="Arial" w:eastAsia="Arial" w:hAnsi="Arial"/>
                <w:sz w:val="18"/>
                <w:szCs w:val="18"/>
                <w:color w:val="auto"/>
                <w:w w:val="93"/>
              </w:rPr>
              <w:t>Amount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Capital</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30"/>
              <w:spacing w:after="0"/>
              <w:rPr>
                <w:sz w:val="20"/>
                <w:szCs w:val="20"/>
                <w:color w:val="auto"/>
              </w:rPr>
            </w:pPr>
            <w:r>
              <w:rPr>
                <w:rFonts w:ascii="Arial" w:cs="Arial" w:eastAsia="Arial" w:hAnsi="Arial"/>
                <w:sz w:val="18"/>
                <w:szCs w:val="18"/>
                <w:color w:val="auto"/>
                <w:w w:val="89"/>
              </w:rPr>
              <w:t>Comp. Loss</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gridSpan w:val="4"/>
          </w:tcPr>
          <w:p>
            <w:pPr>
              <w:ind w:left="20"/>
              <w:spacing w:after="0"/>
              <w:rPr>
                <w:sz w:val="20"/>
                <w:szCs w:val="20"/>
                <w:color w:val="auto"/>
              </w:rPr>
            </w:pPr>
            <w:r>
              <w:rPr>
                <w:rFonts w:ascii="Arial" w:cs="Arial" w:eastAsia="Arial" w:hAnsi="Arial"/>
                <w:sz w:val="18"/>
                <w:szCs w:val="18"/>
                <w:color w:val="auto"/>
              </w:rPr>
              <w:t>Earnings</w:t>
            </w:r>
          </w:p>
        </w:tc>
        <w:tc>
          <w:tcPr>
            <w:tcW w:w="140" w:type="dxa"/>
            <w:vAlign w:val="bottom"/>
          </w:tcPr>
          <w:p>
            <w:pPr>
              <w:spacing w:after="0"/>
              <w:rPr>
                <w:sz w:val="18"/>
                <w:szCs w:val="18"/>
                <w:color w:val="auto"/>
              </w:rPr>
            </w:pPr>
          </w:p>
        </w:tc>
        <w:tc>
          <w:tcPr>
            <w:tcW w:w="980" w:type="dxa"/>
            <w:vAlign w:val="bottom"/>
          </w:tcPr>
          <w:p>
            <w:pPr>
              <w:jc w:val="right"/>
              <w:ind w:right="151"/>
              <w:spacing w:after="0"/>
              <w:rPr>
                <w:sz w:val="20"/>
                <w:szCs w:val="20"/>
                <w:color w:val="auto"/>
              </w:rPr>
            </w:pPr>
            <w:r>
              <w:rPr>
                <w:rFonts w:ascii="Arial" w:cs="Arial" w:eastAsia="Arial" w:hAnsi="Arial"/>
                <w:sz w:val="16"/>
                <w:szCs w:val="16"/>
                <w:color w:val="auto"/>
              </w:rPr>
              <w:t>Interest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50"/>
        </w:trPr>
        <w:tc>
          <w:tcPr>
            <w:tcW w:w="40" w:type="dxa"/>
            <w:vAlign w:val="bottom"/>
            <w:tcBorders>
              <w:top w:val="single" w:sz="8" w:color="CCEEFF"/>
            </w:tcBorders>
            <w:shd w:val="clear" w:color="auto" w:fill="CCEEFF"/>
          </w:tcPr>
          <w:p>
            <w:pPr>
              <w:spacing w:after="0"/>
              <w:rPr>
                <w:sz w:val="21"/>
                <w:szCs w:val="21"/>
                <w:color w:val="auto"/>
              </w:rPr>
            </w:pPr>
          </w:p>
        </w:tc>
        <w:tc>
          <w:tcPr>
            <w:tcW w:w="1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August</w:t>
            </w:r>
          </w:p>
        </w:tc>
        <w:tc>
          <w:tcPr>
            <w:tcW w:w="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560" w:type="dxa"/>
            <w:vAlign w:val="bottom"/>
            <w:tcBorders>
              <w:top w:val="single" w:sz="8" w:color="auto"/>
            </w:tcBorders>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48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64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660" w:type="dxa"/>
            <w:vAlign w:val="bottom"/>
            <w:tcBorders>
              <w:top w:val="single" w:sz="8" w:color="auto"/>
            </w:tcBorders>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40" w:type="dxa"/>
            <w:vAlign w:val="bottom"/>
            <w:tcBorders>
              <w:top w:val="single" w:sz="8" w:color="auto"/>
            </w:tcBorders>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84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28, 2021</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703</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w w:val="79"/>
                <w:shd w:val="clear" w:color="auto" w:fill="CCEEFF"/>
              </w:rPr>
              <w:t>$</w:t>
            </w:r>
          </w:p>
        </w:tc>
        <w:tc>
          <w:tcPr>
            <w:tcW w:w="48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auto"/>
                <w:w w:val="89"/>
              </w:rPr>
              <w:t>48</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8"/>
                <w:shd w:val="clear" w:color="auto" w:fill="CCEEFF"/>
              </w:rPr>
              <w:t>(27,451)</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shd w:val="clear" w:color="auto" w:fill="CCEEFF"/>
              </w:rPr>
              <w:t>$</w:t>
            </w:r>
          </w:p>
        </w:tc>
        <w:tc>
          <w:tcPr>
            <w:tcW w:w="6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98"/>
                <w:shd w:val="clear" w:color="auto" w:fill="CCEEFF"/>
              </w:rPr>
              <w:t>65,044</w:t>
            </w:r>
          </w:p>
        </w:tc>
        <w:tc>
          <w:tcPr>
            <w:tcW w:w="40" w:type="dxa"/>
            <w:vAlign w:val="bottom"/>
            <w:gridSpan w:val="2"/>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shd w:val="clear" w:color="auto" w:fill="CCEEFF"/>
              </w:rPr>
              <w:t>$</w:t>
            </w:r>
          </w:p>
        </w:tc>
        <w:tc>
          <w:tcPr>
            <w:tcW w:w="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(728)</w:t>
            </w:r>
          </w:p>
        </w:tc>
        <w:tc>
          <w:tcPr>
            <w:tcW w:w="20" w:type="dxa"/>
            <w:vAlign w:val="bottom"/>
            <w:shd w:val="clear" w:color="auto" w:fill="CCEEFF"/>
          </w:tcPr>
          <w:p>
            <w:pPr>
              <w:spacing w:after="0"/>
              <w:rPr>
                <w:sz w:val="17"/>
                <w:szCs w:val="17"/>
                <w:color w:val="auto"/>
              </w:rPr>
            </w:pPr>
          </w:p>
        </w:tc>
        <w:tc>
          <w:tcPr>
            <w:tcW w:w="40" w:type="dxa"/>
            <w:vAlign w:val="bottom"/>
            <w:gridSpan w:val="2"/>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shd w:val="clear" w:color="auto" w:fill="CCEEFF"/>
              </w:rPr>
              <w:t>$</w:t>
            </w: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957,951</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shd w:val="clear" w:color="auto" w:fill="CCEEFF"/>
              </w:rPr>
              <w:t>$</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0" w:type="dxa"/>
            <w:vAlign w:val="bottom"/>
            <w:gridSpan w:val="2"/>
            <w:shd w:val="clear" w:color="auto" w:fill="CCEEFF"/>
          </w:tcPr>
          <w:p>
            <w:pPr>
              <w:spacing w:after="0"/>
              <w:rPr>
                <w:sz w:val="17"/>
                <w:szCs w:val="17"/>
                <w:color w:val="auto"/>
              </w:rPr>
            </w:pP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shd w:val="clear" w:color="auto" w:fill="CCEEFF"/>
              </w:rPr>
              <w:t>$</w:t>
            </w:r>
          </w:p>
        </w:tc>
        <w:tc>
          <w:tcPr>
            <w:tcW w:w="8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995,567</w:t>
            </w:r>
          </w:p>
        </w:tc>
        <w:tc>
          <w:tcPr>
            <w:tcW w:w="0" w:type="dxa"/>
            <w:vAlign w:val="bottom"/>
          </w:tcPr>
          <w:p>
            <w:pPr>
              <w:spacing w:after="0"/>
              <w:rPr>
                <w:sz w:val="1"/>
                <w:szCs w:val="1"/>
                <w:color w:val="auto"/>
              </w:rPr>
            </w:pPr>
          </w:p>
        </w:tc>
      </w:tr>
      <w:tr>
        <w:trPr>
          <w:trHeight w:val="472"/>
        </w:trPr>
        <w:tc>
          <w:tcPr>
            <w:tcW w:w="1640" w:type="dxa"/>
            <w:vAlign w:val="bottom"/>
            <w:gridSpan w:val="3"/>
          </w:tcPr>
          <w:p>
            <w:pPr>
              <w:ind w:left="40"/>
              <w:spacing w:after="0"/>
              <w:rPr>
                <w:sz w:val="20"/>
                <w:szCs w:val="20"/>
                <w:color w:val="auto"/>
              </w:rPr>
            </w:pPr>
            <w:r>
              <w:rPr>
                <w:rFonts w:ascii="Arial" w:cs="Arial" w:eastAsia="Arial" w:hAnsi="Arial"/>
                <w:sz w:val="18"/>
                <w:szCs w:val="18"/>
                <w:color w:val="auto"/>
                <w:w w:val="91"/>
              </w:rPr>
              <w:t>Other comprehensive</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40" w:type="dxa"/>
            <w:vAlign w:val="bottom"/>
            <w:gridSpan w:val="3"/>
          </w:tcPr>
          <w:p>
            <w:pPr>
              <w:ind w:left="40"/>
              <w:spacing w:after="0"/>
              <w:rPr>
                <w:sz w:val="20"/>
                <w:szCs w:val="20"/>
                <w:color w:val="auto"/>
              </w:rPr>
            </w:pPr>
            <w:r>
              <w:rPr>
                <w:rFonts w:ascii="Arial" w:cs="Arial" w:eastAsia="Arial" w:hAnsi="Arial"/>
                <w:sz w:val="18"/>
                <w:szCs w:val="18"/>
                <w:color w:val="auto"/>
              </w:rPr>
              <w:t>loss, net of tax</w:t>
            </w:r>
          </w:p>
        </w:tc>
        <w:tc>
          <w:tcPr>
            <w:tcW w:w="1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gridSpan w:val="4"/>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189"/>
        </w:trPr>
        <w:tc>
          <w:tcPr>
            <w:tcW w:w="1640" w:type="dxa"/>
            <w:vAlign w:val="bottom"/>
            <w:gridSpan w:val="3"/>
            <w:shd w:val="clear" w:color="auto" w:fill="CCEEFF"/>
          </w:tcPr>
          <w:p>
            <w:pPr>
              <w:ind w:left="40"/>
              <w:spacing w:after="0" w:line="189" w:lineRule="exact"/>
              <w:rPr>
                <w:sz w:val="20"/>
                <w:szCs w:val="20"/>
                <w:color w:val="auto"/>
              </w:rPr>
            </w:pPr>
            <w:r>
              <w:rPr>
                <w:rFonts w:ascii="Arial" w:cs="Arial" w:eastAsia="Arial" w:hAnsi="Arial"/>
                <w:sz w:val="18"/>
                <w:szCs w:val="18"/>
                <w:color w:val="auto"/>
                <w:w w:val="97"/>
              </w:rPr>
              <w:t>Stock compensation</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6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plan transactions</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975</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gridSpan w:val="3"/>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976</w:t>
            </w:r>
          </w:p>
        </w:tc>
        <w:tc>
          <w:tcPr>
            <w:tcW w:w="0" w:type="dxa"/>
            <w:vAlign w:val="bottom"/>
          </w:tcPr>
          <w:p>
            <w:pPr>
              <w:spacing w:after="0"/>
              <w:rPr>
                <w:sz w:val="1"/>
                <w:szCs w:val="1"/>
                <w:color w:val="auto"/>
              </w:rPr>
            </w:pPr>
          </w:p>
        </w:tc>
      </w:tr>
      <w:tr>
        <w:trPr>
          <w:trHeight w:val="229"/>
        </w:trPr>
        <w:tc>
          <w:tcPr>
            <w:tcW w:w="1640" w:type="dxa"/>
            <w:vAlign w:val="bottom"/>
            <w:gridSpan w:val="3"/>
          </w:tcPr>
          <w:p>
            <w:pPr>
              <w:ind w:left="40"/>
              <w:spacing w:after="0"/>
              <w:rPr>
                <w:sz w:val="20"/>
                <w:szCs w:val="20"/>
                <w:color w:val="auto"/>
              </w:rPr>
            </w:pPr>
            <w:r>
              <w:rPr>
                <w:rFonts w:ascii="Arial" w:cs="Arial" w:eastAsia="Arial" w:hAnsi="Arial"/>
                <w:sz w:val="18"/>
                <w:szCs w:val="18"/>
                <w:color w:val="auto"/>
              </w:rPr>
              <w:t>Contributions</w:t>
            </w: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ind w:left="28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gridSpan w:val="3"/>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8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1,173</w:t>
            </w: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1,145</w:t>
            </w:r>
          </w:p>
        </w:tc>
        <w:tc>
          <w:tcPr>
            <w:tcW w:w="0" w:type="dxa"/>
            <w:vAlign w:val="bottom"/>
          </w:tcPr>
          <w:p>
            <w:pPr>
              <w:spacing w:after="0"/>
              <w:rPr>
                <w:sz w:val="1"/>
                <w:szCs w:val="1"/>
                <w:color w:val="auto"/>
              </w:rPr>
            </w:pPr>
          </w:p>
        </w:tc>
      </w:tr>
      <w:tr>
        <w:trPr>
          <w:trHeight w:val="250"/>
        </w:trPr>
        <w:tc>
          <w:tcPr>
            <w:tcW w:w="1640" w:type="dxa"/>
            <w:vAlign w:val="bottom"/>
            <w:gridSpan w:val="3"/>
          </w:tcPr>
          <w:p>
            <w:pPr>
              <w:ind w:left="40"/>
              <w:spacing w:after="0"/>
              <w:rPr>
                <w:sz w:val="20"/>
                <w:szCs w:val="20"/>
                <w:color w:val="auto"/>
              </w:rPr>
            </w:pPr>
            <w:r>
              <w:rPr>
                <w:rFonts w:ascii="Arial" w:cs="Arial" w:eastAsia="Arial" w:hAnsi="Arial"/>
                <w:sz w:val="18"/>
                <w:szCs w:val="18"/>
                <w:color w:val="auto"/>
              </w:rPr>
              <w:t>Balance at</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640" w:type="dxa"/>
            <w:vAlign w:val="bottom"/>
            <w:gridSpan w:val="3"/>
          </w:tcPr>
          <w:p>
            <w:pPr>
              <w:ind w:left="40"/>
              <w:spacing w:after="0"/>
              <w:rPr>
                <w:sz w:val="20"/>
                <w:szCs w:val="20"/>
                <w:color w:val="auto"/>
              </w:rPr>
            </w:pPr>
            <w:r>
              <w:rPr>
                <w:rFonts w:ascii="Arial" w:cs="Arial" w:eastAsia="Arial" w:hAnsi="Arial"/>
                <w:sz w:val="18"/>
                <w:szCs w:val="18"/>
                <w:color w:val="auto"/>
                <w:w w:val="99"/>
              </w:rPr>
              <w:t>November 27, 2021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703</w:t>
            </w:r>
          </w:p>
        </w:tc>
        <w:tc>
          <w:tcPr>
            <w:tcW w:w="2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ind w:left="280"/>
              <w:spacing w:after="0"/>
              <w:rPr>
                <w:sz w:val="20"/>
                <w:szCs w:val="20"/>
                <w:color w:val="auto"/>
              </w:rPr>
            </w:pPr>
            <w:r>
              <w:rPr>
                <w:rFonts w:ascii="Arial" w:cs="Arial" w:eastAsia="Arial" w:hAnsi="Arial"/>
                <w:sz w:val="18"/>
                <w:szCs w:val="18"/>
                <w:color w:val="auto"/>
                <w:w w:val="89"/>
              </w:rPr>
              <w:t>48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(27,450)</w:t>
            </w:r>
          </w:p>
        </w:tc>
        <w:tc>
          <w:tcPr>
            <w:tcW w:w="2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w w:val="98"/>
              </w:rPr>
              <w:t>66,019</w:t>
            </w:r>
          </w:p>
        </w:tc>
        <w:tc>
          <w:tcPr>
            <w:tcW w:w="16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(996)</w:t>
            </w:r>
          </w:p>
        </w:tc>
        <w:tc>
          <w:tcPr>
            <w:tcW w:w="1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959,124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(25)</w:t>
            </w: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997,423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240"/>
          </w:cols>
          <w:pgMar w:left="1320" w:top="315"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9240"/>
          </w:cols>
          <w:pgMar w:left="1320" w:top="315" w:right="1339" w:bottom="144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1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gridSpan w:val="4"/>
          </w:tcPr>
          <w:p>
            <w:pPr>
              <w:spacing w:after="0"/>
              <w:rPr>
                <w:sz w:val="20"/>
                <w:szCs w:val="20"/>
                <w:color w:val="auto"/>
              </w:rPr>
            </w:pPr>
            <w:r>
              <w:rPr>
                <w:rFonts w:ascii="Arial" w:cs="Arial" w:eastAsia="Arial" w:hAnsi="Arial"/>
                <w:sz w:val="18"/>
                <w:szCs w:val="18"/>
                <w:color w:val="0000FF"/>
                <w:w w:val="90"/>
              </w:rPr>
              <w:t>Index</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5" w:type="dxa"/>
            <w:vAlign w:val="bottom"/>
          </w:tcPr>
          <w:p>
            <w:pPr>
              <w:spacing w:after="0"/>
              <w:rPr>
                <w:sz w:val="17"/>
                <w:szCs w:val="17"/>
                <w:color w:val="auto"/>
              </w:rPr>
            </w:pPr>
          </w:p>
        </w:tc>
        <w:tc>
          <w:tcPr>
            <w:tcW w:w="835"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gridSpan w:val="7"/>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400" w:type="dxa"/>
            <w:vAlign w:val="bottom"/>
            <w:gridSpan w:val="1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5" w:type="dxa"/>
            <w:vAlign w:val="bottom"/>
          </w:tcPr>
          <w:p>
            <w:pPr>
              <w:spacing w:after="0" w:line="20" w:lineRule="exact"/>
              <w:rPr>
                <w:sz w:val="1"/>
                <w:szCs w:val="1"/>
                <w:color w:val="auto"/>
              </w:rPr>
            </w:pPr>
          </w:p>
        </w:tc>
        <w:tc>
          <w:tcPr>
            <w:tcW w:w="835"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3"/>
        </w:trPr>
        <w:tc>
          <w:tcPr>
            <w:tcW w:w="1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gridSpan w:val="23"/>
          </w:tcPr>
          <w:p>
            <w:pPr>
              <w:ind w:left="440"/>
              <w:spacing w:after="0"/>
              <w:rPr>
                <w:sz w:val="20"/>
                <w:szCs w:val="20"/>
                <w:color w:val="auto"/>
              </w:rPr>
            </w:pPr>
            <w:r>
              <w:rPr>
                <w:rFonts w:ascii="Arial" w:cs="Arial" w:eastAsia="Arial" w:hAnsi="Arial"/>
                <w:sz w:val="18"/>
                <w:szCs w:val="18"/>
                <w:color w:val="auto"/>
                <w:w w:val="93"/>
              </w:rPr>
              <w:t>Twenty-six Weeks Ended November 26, 2022</w:t>
            </w: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5" w:type="dxa"/>
            <w:vAlign w:val="bottom"/>
            <w:tcBorders>
              <w:bottom w:val="single" w:sz="8" w:color="auto"/>
            </w:tcBorders>
          </w:tcPr>
          <w:p>
            <w:pPr>
              <w:spacing w:after="0"/>
              <w:rPr>
                <w:sz w:val="24"/>
                <w:szCs w:val="24"/>
                <w:color w:val="auto"/>
              </w:rPr>
            </w:pPr>
          </w:p>
        </w:tc>
        <w:tc>
          <w:tcPr>
            <w:tcW w:w="835"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21"/>
          </w:tcPr>
          <w:p>
            <w:pPr>
              <w:jc w:val="right"/>
              <w:ind w:right="230"/>
              <w:spacing w:after="0"/>
              <w:rPr>
                <w:sz w:val="20"/>
                <w:szCs w:val="20"/>
                <w:color w:val="auto"/>
              </w:rPr>
            </w:pPr>
            <w:r>
              <w:rPr>
                <w:rFonts w:ascii="Arial" w:cs="Arial" w:eastAsia="Arial" w:hAnsi="Arial"/>
                <w:sz w:val="18"/>
                <w:szCs w:val="18"/>
                <w:color w:val="auto"/>
                <w:w w:val="90"/>
              </w:rPr>
              <w:t>Cal-Maine Foods, Inc. Stockholders</w:t>
            </w: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5" w:type="dxa"/>
            <w:vAlign w:val="bottom"/>
          </w:tcPr>
          <w:p>
            <w:pPr>
              <w:spacing w:after="0"/>
              <w:rPr>
                <w:sz w:val="18"/>
                <w:szCs w:val="18"/>
                <w:color w:val="auto"/>
              </w:rPr>
            </w:pPr>
          </w:p>
        </w:tc>
        <w:tc>
          <w:tcPr>
            <w:tcW w:w="835"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11"/>
          </w:tcPr>
          <w:p>
            <w:pPr>
              <w:ind w:left="100"/>
              <w:spacing w:after="0"/>
              <w:rPr>
                <w:sz w:val="20"/>
                <w:szCs w:val="20"/>
                <w:color w:val="auto"/>
              </w:rPr>
            </w:pPr>
            <w:r>
              <w:rPr>
                <w:rFonts w:ascii="Arial" w:cs="Arial" w:eastAsia="Arial" w:hAnsi="Arial"/>
                <w:sz w:val="18"/>
                <w:szCs w:val="18"/>
                <w:color w:val="auto"/>
              </w:rPr>
              <w:t>Common Stock</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gridSpan w:val="3"/>
            <w:vMerge w:val="restart"/>
          </w:tcPr>
          <w:p>
            <w:pPr>
              <w:jc w:val="right"/>
              <w:spacing w:after="0"/>
              <w:rPr>
                <w:sz w:val="20"/>
                <w:szCs w:val="20"/>
                <w:color w:val="auto"/>
              </w:rPr>
            </w:pPr>
            <w:r>
              <w:rPr>
                <w:rFonts w:ascii="Arial" w:cs="Arial" w:eastAsia="Arial" w:hAnsi="Arial"/>
                <w:sz w:val="18"/>
                <w:szCs w:val="18"/>
                <w:color w:val="auto"/>
                <w:w w:val="90"/>
              </w:rPr>
              <w:t>Accum. Other</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vMerge w:val="restart"/>
          </w:tcPr>
          <w:p>
            <w:pPr>
              <w:jc w:val="right"/>
              <w:ind w:right="110"/>
              <w:spacing w:after="0"/>
              <w:rPr>
                <w:sz w:val="20"/>
                <w:szCs w:val="20"/>
                <w:color w:val="auto"/>
              </w:rPr>
            </w:pPr>
            <w:r>
              <w:rPr>
                <w:rFonts w:ascii="Arial" w:cs="Arial" w:eastAsia="Arial" w:hAnsi="Arial"/>
                <w:sz w:val="18"/>
                <w:szCs w:val="18"/>
                <w:color w:val="auto"/>
                <w:w w:val="85"/>
              </w:rPr>
              <w:t>Retained</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gridSpan w:val="2"/>
            <w:vMerge w:val="restart"/>
          </w:tcPr>
          <w:p>
            <w:pPr>
              <w:spacing w:after="0"/>
              <w:rPr>
                <w:sz w:val="20"/>
                <w:szCs w:val="20"/>
                <w:color w:val="auto"/>
              </w:rPr>
            </w:pPr>
            <w:r>
              <w:rPr>
                <w:rFonts w:ascii="Arial" w:cs="Arial" w:eastAsia="Arial" w:hAnsi="Arial"/>
                <w:sz w:val="18"/>
                <w:szCs w:val="18"/>
                <w:color w:val="auto"/>
                <w:w w:val="95"/>
              </w:rPr>
              <w:t>Noncontrolling</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5" w:type="dxa"/>
            <w:vAlign w:val="bottom"/>
          </w:tcPr>
          <w:p>
            <w:pPr>
              <w:spacing w:after="0"/>
              <w:rPr>
                <w:sz w:val="18"/>
                <w:szCs w:val="18"/>
                <w:color w:val="auto"/>
              </w:rPr>
            </w:pPr>
          </w:p>
        </w:tc>
        <w:tc>
          <w:tcPr>
            <w:tcW w:w="835"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gridSpan w:val="3"/>
          </w:tcPr>
          <w:p>
            <w:pPr>
              <w:ind w:left="20"/>
              <w:spacing w:after="0"/>
              <w:rPr>
                <w:sz w:val="20"/>
                <w:szCs w:val="20"/>
                <w:color w:val="auto"/>
              </w:rPr>
            </w:pPr>
            <w:r>
              <w:rPr>
                <w:rFonts w:ascii="Arial" w:cs="Arial" w:eastAsia="Arial" w:hAnsi="Arial"/>
                <w:sz w:val="18"/>
                <w:szCs w:val="18"/>
                <w:color w:val="auto"/>
                <w:w w:val="99"/>
              </w:rPr>
              <w:t>Class A</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gridSpan w:val="6"/>
          </w:tcPr>
          <w:p>
            <w:pPr>
              <w:ind w:left="80"/>
              <w:spacing w:after="0"/>
              <w:rPr>
                <w:sz w:val="20"/>
                <w:szCs w:val="20"/>
                <w:color w:val="auto"/>
              </w:rPr>
            </w:pPr>
            <w:r>
              <w:rPr>
                <w:rFonts w:ascii="Arial" w:cs="Arial" w:eastAsia="Arial" w:hAnsi="Arial"/>
                <w:sz w:val="18"/>
                <w:szCs w:val="18"/>
                <w:color w:val="auto"/>
              </w:rPr>
              <w:t>Treasury</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3"/>
          </w:tcPr>
          <w:p>
            <w:pPr>
              <w:jc w:val="right"/>
              <w:ind w:right="70"/>
              <w:spacing w:after="0"/>
              <w:rPr>
                <w:sz w:val="20"/>
                <w:szCs w:val="20"/>
                <w:color w:val="auto"/>
              </w:rPr>
            </w:pPr>
            <w:r>
              <w:rPr>
                <w:rFonts w:ascii="Arial" w:cs="Arial" w:eastAsia="Arial" w:hAnsi="Arial"/>
                <w:sz w:val="18"/>
                <w:szCs w:val="18"/>
                <w:color w:val="auto"/>
                <w:w w:val="89"/>
              </w:rPr>
              <w:t>Paid In</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5" w:type="dxa"/>
            <w:vAlign w:val="bottom"/>
          </w:tcPr>
          <w:p>
            <w:pPr>
              <w:spacing w:after="0"/>
              <w:rPr>
                <w:sz w:val="19"/>
                <w:szCs w:val="19"/>
                <w:color w:val="auto"/>
              </w:rPr>
            </w:pPr>
          </w:p>
        </w:tc>
        <w:tc>
          <w:tcPr>
            <w:tcW w:w="835"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gridSpan w:val="2"/>
          </w:tcPr>
          <w:p>
            <w:pPr>
              <w:ind w:left="20"/>
              <w:spacing w:after="0"/>
              <w:rPr>
                <w:sz w:val="20"/>
                <w:szCs w:val="20"/>
                <w:color w:val="auto"/>
              </w:rPr>
            </w:pPr>
            <w:r>
              <w:rPr>
                <w:rFonts w:ascii="Arial" w:cs="Arial" w:eastAsia="Arial" w:hAnsi="Arial"/>
                <w:sz w:val="18"/>
                <w:szCs w:val="18"/>
                <w:color w:val="auto"/>
                <w:w w:val="99"/>
              </w:rPr>
              <w:t>Amount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gridSpan w:val="3"/>
          </w:tcPr>
          <w:p>
            <w:pPr>
              <w:ind w:left="20"/>
              <w:spacing w:after="0"/>
              <w:rPr>
                <w:sz w:val="20"/>
                <w:szCs w:val="20"/>
                <w:color w:val="auto"/>
              </w:rPr>
            </w:pPr>
            <w:r>
              <w:rPr>
                <w:rFonts w:ascii="Arial" w:cs="Arial" w:eastAsia="Arial" w:hAnsi="Arial"/>
                <w:sz w:val="18"/>
                <w:szCs w:val="18"/>
                <w:color w:val="auto"/>
                <w:w w:val="99"/>
              </w:rPr>
              <w:t>Amount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5"/>
          </w:tcPr>
          <w:p>
            <w:pPr>
              <w:ind w:left="20"/>
              <w:spacing w:after="0"/>
              <w:rPr>
                <w:sz w:val="20"/>
                <w:szCs w:val="20"/>
                <w:color w:val="auto"/>
              </w:rPr>
            </w:pPr>
            <w:r>
              <w:rPr>
                <w:rFonts w:ascii="Arial" w:cs="Arial" w:eastAsia="Arial" w:hAnsi="Arial"/>
                <w:sz w:val="18"/>
                <w:szCs w:val="18"/>
                <w:color w:val="auto"/>
              </w:rPr>
              <w:t>Amount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6"/>
          </w:tcPr>
          <w:p>
            <w:pPr>
              <w:jc w:val="right"/>
              <w:ind w:right="220"/>
              <w:spacing w:after="0"/>
              <w:rPr>
                <w:sz w:val="20"/>
                <w:szCs w:val="20"/>
                <w:color w:val="auto"/>
              </w:rPr>
            </w:pPr>
            <w:r>
              <w:rPr>
                <w:rFonts w:ascii="Arial" w:cs="Arial" w:eastAsia="Arial" w:hAnsi="Arial"/>
                <w:sz w:val="18"/>
                <w:szCs w:val="18"/>
                <w:color w:val="auto"/>
                <w:w w:val="89"/>
              </w:rPr>
              <w:t>Capital</w:t>
            </w:r>
          </w:p>
        </w:tc>
        <w:tc>
          <w:tcPr>
            <w:tcW w:w="80" w:type="dxa"/>
            <w:vAlign w:val="bottom"/>
          </w:tcPr>
          <w:p>
            <w:pPr>
              <w:spacing w:after="0"/>
              <w:rPr>
                <w:sz w:val="18"/>
                <w:szCs w:val="18"/>
                <w:color w:val="auto"/>
              </w:rPr>
            </w:pPr>
          </w:p>
        </w:tc>
        <w:tc>
          <w:tcPr>
            <w:tcW w:w="1000" w:type="dxa"/>
            <w:vAlign w:val="bottom"/>
            <w:gridSpan w:val="2"/>
          </w:tcPr>
          <w:p>
            <w:pPr>
              <w:jc w:val="right"/>
              <w:ind w:right="50"/>
              <w:spacing w:after="0"/>
              <w:rPr>
                <w:sz w:val="20"/>
                <w:szCs w:val="20"/>
                <w:color w:val="auto"/>
              </w:rPr>
            </w:pPr>
            <w:r>
              <w:rPr>
                <w:rFonts w:ascii="Arial" w:cs="Arial" w:eastAsia="Arial" w:hAnsi="Arial"/>
                <w:sz w:val="18"/>
                <w:szCs w:val="18"/>
                <w:color w:val="auto"/>
                <w:w w:val="87"/>
              </w:rPr>
              <w:t>Comp. Loss</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10"/>
              <w:spacing w:after="0"/>
              <w:rPr>
                <w:sz w:val="20"/>
                <w:szCs w:val="20"/>
                <w:color w:val="auto"/>
              </w:rPr>
            </w:pPr>
            <w:r>
              <w:rPr>
                <w:rFonts w:ascii="Arial" w:cs="Arial" w:eastAsia="Arial" w:hAnsi="Arial"/>
                <w:sz w:val="18"/>
                <w:szCs w:val="18"/>
                <w:color w:val="auto"/>
                <w:w w:val="87"/>
              </w:rPr>
              <w:t>Earnings</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52"/>
              <w:spacing w:after="0"/>
              <w:rPr>
                <w:sz w:val="20"/>
                <w:szCs w:val="20"/>
                <w:color w:val="auto"/>
              </w:rPr>
            </w:pPr>
            <w:r>
              <w:rPr>
                <w:rFonts w:ascii="Arial" w:cs="Arial" w:eastAsia="Arial" w:hAnsi="Arial"/>
                <w:sz w:val="16"/>
                <w:szCs w:val="16"/>
                <w:color w:val="auto"/>
              </w:rPr>
              <w:t>Interest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5" w:type="dxa"/>
            <w:vAlign w:val="bottom"/>
          </w:tcPr>
          <w:p>
            <w:pPr>
              <w:spacing w:after="0"/>
              <w:rPr>
                <w:sz w:val="18"/>
                <w:szCs w:val="18"/>
                <w:color w:val="auto"/>
              </w:rPr>
            </w:pPr>
          </w:p>
        </w:tc>
        <w:tc>
          <w:tcPr>
            <w:tcW w:w="835" w:type="dxa"/>
            <w:vAlign w:val="bottom"/>
          </w:tcPr>
          <w:p>
            <w:pPr>
              <w:jc w:val="right"/>
              <w:ind w:right="25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May 28,</w:t>
            </w:r>
          </w:p>
        </w:tc>
        <w:tc>
          <w:tcPr>
            <w:tcW w:w="40" w:type="dxa"/>
            <w:vAlign w:val="bottom"/>
            <w:tcBorders>
              <w:top w:val="single" w:sz="8" w:color="CCEEFF"/>
              <w:right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50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4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460" w:type="dxa"/>
            <w:vAlign w:val="bottom"/>
            <w:tcBorders>
              <w:top w:val="single" w:sz="8" w:color="auto"/>
            </w:tcBorders>
            <w:shd w:val="clear" w:color="auto" w:fill="CCEEFF"/>
          </w:tcPr>
          <w:p>
            <w:pPr>
              <w:spacing w:after="0"/>
              <w:rPr>
                <w:sz w:val="20"/>
                <w:szCs w:val="20"/>
                <w:color w:val="auto"/>
              </w:rPr>
            </w:pPr>
          </w:p>
        </w:tc>
        <w:tc>
          <w:tcPr>
            <w:tcW w:w="6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4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62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4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40" w:type="dxa"/>
            <w:vAlign w:val="bottom"/>
            <w:tcBorders>
              <w:top w:val="single" w:sz="8" w:color="auto"/>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36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84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185" w:type="dxa"/>
            <w:vAlign w:val="bottom"/>
            <w:tcBorders>
              <w:top w:val="single" w:sz="8" w:color="auto"/>
            </w:tcBorders>
            <w:shd w:val="clear" w:color="auto" w:fill="CCEEFF"/>
          </w:tcPr>
          <w:p>
            <w:pPr>
              <w:spacing w:after="0"/>
              <w:rPr>
                <w:sz w:val="20"/>
                <w:szCs w:val="20"/>
                <w:color w:val="auto"/>
              </w:rPr>
            </w:pPr>
          </w:p>
        </w:tc>
        <w:tc>
          <w:tcPr>
            <w:tcW w:w="835" w:type="dxa"/>
            <w:vAlign w:val="bottom"/>
            <w:tcBorders>
              <w:top w:val="single" w:sz="8" w:color="auto"/>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shd w:val="clear" w:color="auto" w:fill="CCEEFF"/>
              </w:rPr>
              <w:t>$</w:t>
            </w:r>
          </w:p>
        </w:tc>
        <w:tc>
          <w:tcPr>
            <w:tcW w:w="46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9"/>
              </w:rPr>
              <w:t>48</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shd w:val="clear" w:color="auto" w:fill="CCEEFF"/>
              </w:rPr>
              <w:t>(28,447)</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shd w:val="clear" w:color="auto" w:fill="CCEEFF"/>
              </w:rPr>
              <w:t>$</w:t>
            </w:r>
          </w:p>
        </w:tc>
        <w:tc>
          <w:tcPr>
            <w:tcW w:w="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4"/>
                <w:shd w:val="clear" w:color="auto" w:fill="CCEEFF"/>
              </w:rPr>
              <w:t>67,989</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shd w:val="clear" w:color="auto" w:fill="CCEEFF"/>
              </w:rPr>
              <w:t>$</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(1,596)</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shd w:val="clear" w:color="auto" w:fill="CCEEFF"/>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shd w:val="clear" w:color="auto" w:fill="CCEEFF"/>
              </w:rPr>
              <w:t>1,065,854</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shd w:val="clear" w:color="auto" w:fill="CCEEFF"/>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5"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shd w:val="clear" w:color="auto" w:fill="CCEEFF"/>
              </w:rPr>
              <w:t>$</w:t>
            </w:r>
          </w:p>
        </w:tc>
        <w:tc>
          <w:tcPr>
            <w:tcW w:w="835"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9"/>
                <w:shd w:val="clear" w:color="auto" w:fill="CCEEFF"/>
              </w:rPr>
              <w:t>1,104,345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2"/>
        </w:trPr>
        <w:tc>
          <w:tcPr>
            <w:tcW w:w="1660" w:type="dxa"/>
            <w:vAlign w:val="bottom"/>
            <w:gridSpan w:val="2"/>
          </w:tcPr>
          <w:p>
            <w:pPr>
              <w:ind w:left="40"/>
              <w:spacing w:after="0"/>
              <w:rPr>
                <w:sz w:val="20"/>
                <w:szCs w:val="20"/>
                <w:color w:val="auto"/>
              </w:rPr>
            </w:pPr>
            <w:r>
              <w:rPr>
                <w:rFonts w:ascii="Arial" w:cs="Arial" w:eastAsia="Arial" w:hAnsi="Arial"/>
                <w:sz w:val="18"/>
                <w:szCs w:val="18"/>
                <w:color w:val="auto"/>
                <w:w w:val="91"/>
              </w:rPr>
              <w:t>Other comprehensive</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5" w:type="dxa"/>
            <w:vAlign w:val="bottom"/>
          </w:tcPr>
          <w:p>
            <w:pPr>
              <w:spacing w:after="0"/>
              <w:rPr>
                <w:sz w:val="24"/>
                <w:szCs w:val="24"/>
                <w:color w:val="auto"/>
              </w:rPr>
            </w:pPr>
          </w:p>
        </w:tc>
        <w:tc>
          <w:tcPr>
            <w:tcW w:w="835"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loss, net of tax</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gridSpan w:val="4"/>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(1,491)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5" w:type="dxa"/>
            <w:vAlign w:val="bottom"/>
          </w:tcPr>
          <w:p>
            <w:pPr>
              <w:spacing w:after="0"/>
              <w:rPr>
                <w:sz w:val="18"/>
                <w:szCs w:val="18"/>
                <w:color w:val="auto"/>
              </w:rPr>
            </w:pPr>
          </w:p>
        </w:tc>
        <w:tc>
          <w:tcPr>
            <w:tcW w:w="835" w:type="dxa"/>
            <w:vAlign w:val="bottom"/>
          </w:tcPr>
          <w:p>
            <w:pPr>
              <w:jc w:val="right"/>
              <w:spacing w:after="0"/>
              <w:rPr>
                <w:sz w:val="20"/>
                <w:szCs w:val="20"/>
                <w:color w:val="auto"/>
              </w:rPr>
            </w:pPr>
            <w:r>
              <w:rPr>
                <w:rFonts w:ascii="Arial" w:cs="Arial" w:eastAsia="Arial" w:hAnsi="Arial"/>
                <w:sz w:val="18"/>
                <w:szCs w:val="18"/>
                <w:color w:val="auto"/>
              </w:rPr>
              <w:t>(1,491)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6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Stock compensation</w:t>
            </w:r>
          </w:p>
        </w:tc>
        <w:tc>
          <w:tcPr>
            <w:tcW w:w="4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5" w:type="dxa"/>
            <w:vAlign w:val="bottom"/>
            <w:shd w:val="clear" w:color="auto" w:fill="CCEEFF"/>
          </w:tcPr>
          <w:p>
            <w:pPr>
              <w:spacing w:after="0"/>
              <w:rPr>
                <w:sz w:val="21"/>
                <w:szCs w:val="21"/>
                <w:color w:val="auto"/>
              </w:rPr>
            </w:pPr>
          </w:p>
        </w:tc>
        <w:tc>
          <w:tcPr>
            <w:tcW w:w="835"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plan transactions</w:t>
            </w:r>
          </w:p>
        </w:tc>
        <w:tc>
          <w:tcPr>
            <w:tcW w:w="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2,016</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5" w:type="dxa"/>
            <w:vAlign w:val="bottom"/>
            <w:shd w:val="clear" w:color="auto" w:fill="CCEEFF"/>
          </w:tcPr>
          <w:p>
            <w:pPr>
              <w:spacing w:after="0"/>
              <w:rPr>
                <w:sz w:val="18"/>
                <w:szCs w:val="18"/>
                <w:color w:val="auto"/>
              </w:rPr>
            </w:pPr>
          </w:p>
        </w:tc>
        <w:tc>
          <w:tcPr>
            <w:tcW w:w="835"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Dividends ($2.206</w:t>
            </w: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5" w:type="dxa"/>
            <w:vAlign w:val="bottom"/>
          </w:tcPr>
          <w:p>
            <w:pPr>
              <w:spacing w:after="0"/>
              <w:rPr>
                <w:sz w:val="21"/>
                <w:szCs w:val="21"/>
                <w:color w:val="auto"/>
              </w:rPr>
            </w:pPr>
          </w:p>
        </w:tc>
        <w:tc>
          <w:tcPr>
            <w:tcW w:w="835"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per share)</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5" w:type="dxa"/>
            <w:vAlign w:val="bottom"/>
          </w:tcPr>
          <w:p>
            <w:pPr>
              <w:spacing w:after="0"/>
              <w:rPr>
                <w:sz w:val="18"/>
                <w:szCs w:val="18"/>
                <w:color w:val="auto"/>
              </w:rPr>
            </w:pPr>
          </w:p>
        </w:tc>
        <w:tc>
          <w:tcPr>
            <w:tcW w:w="835"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w:t>
            </w:r>
          </w:p>
        </w:tc>
        <w:tc>
          <w:tcPr>
            <w:tcW w:w="4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0" w:type="dxa"/>
            <w:vAlign w:val="bottom"/>
            <w:gridSpan w:val="2"/>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(97,355)</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5" w:type="dxa"/>
            <w:vAlign w:val="bottom"/>
            <w:shd w:val="clear" w:color="auto" w:fill="CCEEFF"/>
          </w:tcPr>
          <w:p>
            <w:pPr>
              <w:spacing w:after="0"/>
              <w:rPr>
                <w:sz w:val="19"/>
                <w:szCs w:val="19"/>
                <w:color w:val="auto"/>
              </w:rPr>
            </w:pPr>
          </w:p>
        </w:tc>
        <w:tc>
          <w:tcPr>
            <w:tcW w:w="835"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60" w:type="dxa"/>
            <w:vAlign w:val="bottom"/>
            <w:gridSpan w:val="2"/>
          </w:tcPr>
          <w:p>
            <w:pPr>
              <w:ind w:left="160"/>
              <w:spacing w:after="0"/>
              <w:rPr>
                <w:sz w:val="20"/>
                <w:szCs w:val="20"/>
                <w:color w:val="auto"/>
              </w:rPr>
            </w:pPr>
            <w:r>
              <w:rPr>
                <w:rFonts w:ascii="Arial" w:cs="Arial" w:eastAsia="Arial" w:hAnsi="Arial"/>
                <w:sz w:val="18"/>
                <w:szCs w:val="18"/>
                <w:color w:val="auto"/>
              </w:rPr>
              <w:t>Class A common</w:t>
            </w:r>
          </w:p>
        </w:tc>
        <w:tc>
          <w:tcPr>
            <w:tcW w:w="1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gridSpan w:val="4"/>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(10,589)</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5" w:type="dxa"/>
            <w:vAlign w:val="bottom"/>
          </w:tcPr>
          <w:p>
            <w:pPr>
              <w:spacing w:after="0"/>
              <w:rPr>
                <w:sz w:val="19"/>
                <w:szCs w:val="19"/>
                <w:color w:val="auto"/>
              </w:rPr>
            </w:pPr>
          </w:p>
        </w:tc>
        <w:tc>
          <w:tcPr>
            <w:tcW w:w="835" w:type="dxa"/>
            <w:vAlign w:val="bottom"/>
          </w:tcPr>
          <w:p>
            <w:pPr>
              <w:jc w:val="right"/>
              <w:spacing w:after="0"/>
              <w:rPr>
                <w:sz w:val="20"/>
                <w:szCs w:val="20"/>
                <w:color w:val="auto"/>
              </w:rPr>
            </w:pPr>
            <w:r>
              <w:rPr>
                <w:rFonts w:ascii="Arial" w:cs="Arial" w:eastAsia="Arial" w:hAnsi="Arial"/>
                <w:sz w:val="18"/>
                <w:szCs w:val="18"/>
                <w:color w:val="auto"/>
              </w:rPr>
              <w:t>(10,589)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0" w:type="dxa"/>
            <w:vAlign w:val="bottom"/>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323,874</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5" w:type="dxa"/>
            <w:vAlign w:val="bottom"/>
            <w:shd w:val="clear" w:color="auto" w:fill="CCEEFF"/>
          </w:tcPr>
          <w:p>
            <w:pPr>
              <w:spacing w:after="0"/>
              <w:rPr>
                <w:sz w:val="18"/>
                <w:szCs w:val="18"/>
                <w:color w:val="auto"/>
              </w:rPr>
            </w:pPr>
          </w:p>
        </w:tc>
        <w:tc>
          <w:tcPr>
            <w:tcW w:w="835"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323,428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660" w:type="dxa"/>
            <w:vAlign w:val="bottom"/>
            <w:tcBorders>
              <w:top w:val="single" w:sz="8" w:color="CCEEFF"/>
            </w:tcBorders>
            <w:gridSpan w:val="2"/>
          </w:tcPr>
          <w:p>
            <w:pPr>
              <w:ind w:left="40"/>
              <w:spacing w:after="0"/>
              <w:rPr>
                <w:sz w:val="20"/>
                <w:szCs w:val="20"/>
                <w:color w:val="auto"/>
              </w:rPr>
            </w:pPr>
            <w:r>
              <w:rPr>
                <w:rFonts w:ascii="Arial" w:cs="Arial" w:eastAsia="Arial" w:hAnsi="Arial"/>
                <w:sz w:val="18"/>
                <w:szCs w:val="18"/>
                <w:color w:val="auto"/>
              </w:rPr>
              <w:t>Balance at</w:t>
            </w:r>
          </w:p>
        </w:tc>
        <w:tc>
          <w:tcPr>
            <w:tcW w:w="16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185" w:type="dxa"/>
            <w:vAlign w:val="bottom"/>
            <w:tcBorders>
              <w:top w:val="single" w:sz="8" w:color="auto"/>
            </w:tcBorders>
          </w:tcPr>
          <w:p>
            <w:pPr>
              <w:spacing w:after="0"/>
              <w:rPr>
                <w:sz w:val="21"/>
                <w:szCs w:val="21"/>
                <w:color w:val="auto"/>
              </w:rPr>
            </w:pPr>
          </w:p>
        </w:tc>
        <w:tc>
          <w:tcPr>
            <w:tcW w:w="835"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620" w:type="dxa"/>
            <w:vAlign w:val="bottom"/>
          </w:tcPr>
          <w:p>
            <w:pPr>
              <w:ind w:left="40"/>
              <w:spacing w:after="0"/>
              <w:rPr>
                <w:sz w:val="20"/>
                <w:szCs w:val="20"/>
                <w:color w:val="auto"/>
              </w:rPr>
            </w:pPr>
            <w:r>
              <w:rPr>
                <w:rFonts w:ascii="Arial" w:cs="Arial" w:eastAsia="Arial" w:hAnsi="Arial"/>
                <w:sz w:val="18"/>
                <w:szCs w:val="18"/>
                <w:color w:val="auto"/>
                <w:w w:val="98"/>
              </w:rPr>
              <w:t>November 26, 2022</w:t>
            </w: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w:t>
            </w:r>
          </w:p>
        </w:tc>
        <w:tc>
          <w:tcPr>
            <w:tcW w:w="20" w:type="dxa"/>
            <w:vAlign w:val="bottom"/>
          </w:tcPr>
          <w:p>
            <w:pPr>
              <w:spacing w:after="0"/>
              <w:rPr>
                <w:sz w:val="20"/>
                <w:szCs w:val="20"/>
                <w:color w:val="auto"/>
              </w:rPr>
            </w:pPr>
          </w:p>
        </w:tc>
        <w:tc>
          <w:tcPr>
            <w:tcW w:w="2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w w:val="99"/>
              </w:rPr>
              <w:t>48</w:t>
            </w:r>
          </w:p>
        </w:tc>
        <w:tc>
          <w:tcPr>
            <w:tcW w:w="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(28,496)</w:t>
            </w:r>
          </w:p>
        </w:tc>
        <w:tc>
          <w:tcPr>
            <w:tcW w:w="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4"/>
              </w:rPr>
              <w:t>70,005</w:t>
            </w: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(3,087)</w:t>
            </w:r>
          </w:p>
        </w:tc>
        <w:tc>
          <w:tcPr>
            <w:tcW w:w="20" w:type="dxa"/>
            <w:vAlign w:val="bottom"/>
          </w:tcPr>
          <w:p>
            <w:pPr>
              <w:spacing w:after="0"/>
              <w:rPr>
                <w:sz w:val="20"/>
                <w:szCs w:val="20"/>
                <w:color w:val="auto"/>
              </w:rPr>
            </w:pPr>
          </w:p>
        </w:tc>
        <w:tc>
          <w:tcPr>
            <w:tcW w:w="20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1,281,784</w:t>
            </w:r>
          </w:p>
        </w:tc>
        <w:tc>
          <w:tcPr>
            <w:tcW w:w="20" w:type="dxa"/>
            <w:vAlign w:val="bottom"/>
          </w:tcPr>
          <w:p>
            <w:pPr>
              <w:spacing w:after="0"/>
              <w:rPr>
                <w:sz w:val="20"/>
                <w:szCs w:val="20"/>
                <w:color w:val="auto"/>
              </w:rPr>
            </w:pPr>
          </w:p>
        </w:tc>
        <w:tc>
          <w:tcPr>
            <w:tcW w:w="22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w:t>
            </w:r>
          </w:p>
        </w:tc>
        <w:tc>
          <w:tcPr>
            <w:tcW w:w="20" w:type="dxa"/>
            <w:vAlign w:val="bottom"/>
          </w:tcPr>
          <w:p>
            <w:pPr>
              <w:spacing w:after="0"/>
              <w:rPr>
                <w:sz w:val="20"/>
                <w:szCs w:val="20"/>
                <w:color w:val="auto"/>
              </w:rPr>
            </w:pPr>
          </w:p>
        </w:tc>
        <w:tc>
          <w:tcPr>
            <w:tcW w:w="205"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835"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9"/>
              </w:rPr>
              <w:t>1,320,305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1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gridSpan w:val="23"/>
          </w:tcPr>
          <w:p>
            <w:pPr>
              <w:ind w:left="460"/>
              <w:spacing w:after="0"/>
              <w:rPr>
                <w:sz w:val="20"/>
                <w:szCs w:val="20"/>
                <w:color w:val="auto"/>
              </w:rPr>
            </w:pPr>
            <w:r>
              <w:rPr>
                <w:rFonts w:ascii="Arial" w:cs="Arial" w:eastAsia="Arial" w:hAnsi="Arial"/>
                <w:sz w:val="18"/>
                <w:szCs w:val="18"/>
                <w:color w:val="auto"/>
                <w:w w:val="93"/>
              </w:rPr>
              <w:t>Twenty-six Weeks Ended November 27, 2021</w:t>
            </w: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5" w:type="dxa"/>
            <w:vAlign w:val="bottom"/>
            <w:tcBorders>
              <w:bottom w:val="single" w:sz="8" w:color="auto"/>
            </w:tcBorders>
          </w:tcPr>
          <w:p>
            <w:pPr>
              <w:spacing w:after="0"/>
              <w:rPr>
                <w:sz w:val="24"/>
                <w:szCs w:val="24"/>
                <w:color w:val="auto"/>
              </w:rPr>
            </w:pPr>
          </w:p>
        </w:tc>
        <w:tc>
          <w:tcPr>
            <w:tcW w:w="835"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21"/>
          </w:tcPr>
          <w:p>
            <w:pPr>
              <w:jc w:val="right"/>
              <w:ind w:right="210"/>
              <w:spacing w:after="0"/>
              <w:rPr>
                <w:sz w:val="20"/>
                <w:szCs w:val="20"/>
                <w:color w:val="auto"/>
              </w:rPr>
            </w:pPr>
            <w:r>
              <w:rPr>
                <w:rFonts w:ascii="Arial" w:cs="Arial" w:eastAsia="Arial" w:hAnsi="Arial"/>
                <w:sz w:val="18"/>
                <w:szCs w:val="18"/>
                <w:color w:val="auto"/>
                <w:w w:val="91"/>
              </w:rPr>
              <w:t>Cal-Maine Foods, Inc. Stockholders</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5" w:type="dxa"/>
            <w:vAlign w:val="bottom"/>
          </w:tcPr>
          <w:p>
            <w:pPr>
              <w:spacing w:after="0"/>
              <w:rPr>
                <w:sz w:val="19"/>
                <w:szCs w:val="19"/>
                <w:color w:val="auto"/>
              </w:rPr>
            </w:pPr>
          </w:p>
        </w:tc>
        <w:tc>
          <w:tcPr>
            <w:tcW w:w="835"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11"/>
          </w:tcPr>
          <w:p>
            <w:pPr>
              <w:ind w:left="140"/>
              <w:spacing w:after="0"/>
              <w:rPr>
                <w:sz w:val="20"/>
                <w:szCs w:val="20"/>
                <w:color w:val="auto"/>
              </w:rPr>
            </w:pPr>
            <w:r>
              <w:rPr>
                <w:rFonts w:ascii="Arial" w:cs="Arial" w:eastAsia="Arial" w:hAnsi="Arial"/>
                <w:sz w:val="18"/>
                <w:szCs w:val="18"/>
                <w:color w:val="auto"/>
              </w:rPr>
              <w:t>Common Stock</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5" w:type="dxa"/>
            <w:vAlign w:val="bottom"/>
          </w:tcPr>
          <w:p>
            <w:pPr>
              <w:spacing w:after="0"/>
              <w:rPr>
                <w:sz w:val="18"/>
                <w:szCs w:val="18"/>
                <w:color w:val="auto"/>
              </w:rPr>
            </w:pPr>
          </w:p>
        </w:tc>
        <w:tc>
          <w:tcPr>
            <w:tcW w:w="835"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gridSpan w:val="3"/>
          </w:tcPr>
          <w:p>
            <w:pPr>
              <w:ind w:left="60"/>
              <w:spacing w:after="0"/>
              <w:rPr>
                <w:sz w:val="20"/>
                <w:szCs w:val="20"/>
                <w:color w:val="auto"/>
              </w:rPr>
            </w:pPr>
            <w:r>
              <w:rPr>
                <w:rFonts w:ascii="Arial" w:cs="Arial" w:eastAsia="Arial" w:hAnsi="Arial"/>
                <w:sz w:val="18"/>
                <w:szCs w:val="18"/>
                <w:color w:val="auto"/>
                <w:w w:val="93"/>
              </w:rPr>
              <w:t>Class A</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gridSpan w:val="5"/>
          </w:tcPr>
          <w:p>
            <w:pPr>
              <w:ind w:left="40"/>
              <w:spacing w:after="0"/>
              <w:rPr>
                <w:sz w:val="20"/>
                <w:szCs w:val="20"/>
                <w:color w:val="auto"/>
              </w:rPr>
            </w:pPr>
            <w:r>
              <w:rPr>
                <w:rFonts w:ascii="Arial" w:cs="Arial" w:eastAsia="Arial" w:hAnsi="Arial"/>
                <w:sz w:val="18"/>
                <w:szCs w:val="18"/>
                <w:color w:val="auto"/>
              </w:rPr>
              <w:t>Treasury</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gridSpan w:val="5"/>
          </w:tcPr>
          <w:p>
            <w:pPr>
              <w:ind w:left="20"/>
              <w:spacing w:after="0"/>
              <w:rPr>
                <w:sz w:val="20"/>
                <w:szCs w:val="20"/>
                <w:color w:val="auto"/>
              </w:rPr>
            </w:pPr>
            <w:r>
              <w:rPr>
                <w:rFonts w:ascii="Arial" w:cs="Arial" w:eastAsia="Arial" w:hAnsi="Arial"/>
                <w:sz w:val="18"/>
                <w:szCs w:val="18"/>
                <w:color w:val="auto"/>
              </w:rPr>
              <w:t>Paid In</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w w:val="94"/>
              </w:rPr>
              <w:t>Accum. Other</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w w:val="91"/>
              </w:rPr>
              <w:t>Retained</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w w:val="95"/>
              </w:rPr>
              <w:t>Noncontrolling</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5" w:type="dxa"/>
            <w:vAlign w:val="bottom"/>
          </w:tcPr>
          <w:p>
            <w:pPr>
              <w:spacing w:after="0"/>
              <w:rPr>
                <w:sz w:val="20"/>
                <w:szCs w:val="20"/>
                <w:color w:val="auto"/>
              </w:rPr>
            </w:pPr>
          </w:p>
        </w:tc>
        <w:tc>
          <w:tcPr>
            <w:tcW w:w="835"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9"/>
              </w:rPr>
              <w:t>Amount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gridSpan w:val="3"/>
          </w:tcPr>
          <w:p>
            <w:pPr>
              <w:ind w:left="60"/>
              <w:spacing w:after="0"/>
              <w:rPr>
                <w:sz w:val="20"/>
                <w:szCs w:val="20"/>
                <w:color w:val="auto"/>
              </w:rPr>
            </w:pPr>
            <w:r>
              <w:rPr>
                <w:rFonts w:ascii="Arial" w:cs="Arial" w:eastAsia="Arial" w:hAnsi="Arial"/>
                <w:sz w:val="18"/>
                <w:szCs w:val="18"/>
                <w:color w:val="auto"/>
                <w:w w:val="93"/>
              </w:rPr>
              <w:t>Amount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gridSpan w:val="4"/>
          </w:tcPr>
          <w:p>
            <w:pPr>
              <w:ind w:left="20"/>
              <w:spacing w:after="0"/>
              <w:rPr>
                <w:sz w:val="20"/>
                <w:szCs w:val="20"/>
                <w:color w:val="auto"/>
              </w:rPr>
            </w:pPr>
            <w:r>
              <w:rPr>
                <w:rFonts w:ascii="Arial" w:cs="Arial" w:eastAsia="Arial" w:hAnsi="Arial"/>
                <w:sz w:val="18"/>
                <w:szCs w:val="18"/>
                <w:color w:val="auto"/>
              </w:rPr>
              <w:t>Amount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gridSpan w:val="5"/>
          </w:tcPr>
          <w:p>
            <w:pPr>
              <w:ind w:left="20"/>
              <w:spacing w:after="0"/>
              <w:rPr>
                <w:sz w:val="20"/>
                <w:szCs w:val="20"/>
                <w:color w:val="auto"/>
              </w:rPr>
            </w:pPr>
            <w:r>
              <w:rPr>
                <w:rFonts w:ascii="Arial" w:cs="Arial" w:eastAsia="Arial" w:hAnsi="Arial"/>
                <w:sz w:val="18"/>
                <w:szCs w:val="18"/>
                <w:color w:val="auto"/>
              </w:rPr>
              <w:t>Capital</w:t>
            </w:r>
          </w:p>
        </w:tc>
        <w:tc>
          <w:tcPr>
            <w:tcW w:w="80" w:type="dxa"/>
            <w:vAlign w:val="bottom"/>
          </w:tcPr>
          <w:p>
            <w:pPr>
              <w:spacing w:after="0"/>
              <w:rPr>
                <w:sz w:val="18"/>
                <w:szCs w:val="18"/>
                <w:color w:val="auto"/>
              </w:rPr>
            </w:pP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w w:val="91"/>
              </w:rPr>
              <w:t>Comp. Loss</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w w:val="92"/>
              </w:rPr>
              <w:t>Earnings</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52"/>
              <w:spacing w:after="0"/>
              <w:rPr>
                <w:sz w:val="20"/>
                <w:szCs w:val="20"/>
                <w:color w:val="auto"/>
              </w:rPr>
            </w:pPr>
            <w:r>
              <w:rPr>
                <w:rFonts w:ascii="Arial" w:cs="Arial" w:eastAsia="Arial" w:hAnsi="Arial"/>
                <w:sz w:val="16"/>
                <w:szCs w:val="16"/>
                <w:color w:val="auto"/>
              </w:rPr>
              <w:t>Interest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5" w:type="dxa"/>
            <w:vAlign w:val="bottom"/>
          </w:tcPr>
          <w:p>
            <w:pPr>
              <w:spacing w:after="0"/>
              <w:rPr>
                <w:sz w:val="18"/>
                <w:szCs w:val="18"/>
                <w:color w:val="auto"/>
              </w:rPr>
            </w:pPr>
          </w:p>
        </w:tc>
        <w:tc>
          <w:tcPr>
            <w:tcW w:w="835" w:type="dxa"/>
            <w:vAlign w:val="bottom"/>
          </w:tcPr>
          <w:p>
            <w:pPr>
              <w:jc w:val="right"/>
              <w:ind w:right="23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660" w:type="dxa"/>
            <w:vAlign w:val="bottom"/>
            <w:tcBorders>
              <w:top w:val="single" w:sz="8" w:color="CCEEFF"/>
              <w:right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May 29,</w:t>
            </w:r>
          </w:p>
        </w:tc>
        <w:tc>
          <w:tcPr>
            <w:tcW w:w="160" w:type="dxa"/>
            <w:vAlign w:val="bottom"/>
            <w:tcBorders>
              <w:top w:val="single" w:sz="8" w:color="auto"/>
            </w:tcBorders>
            <w:shd w:val="clear" w:color="auto" w:fill="CCEEFF"/>
          </w:tcPr>
          <w:p>
            <w:pPr>
              <w:spacing w:after="0"/>
              <w:rPr>
                <w:sz w:val="21"/>
                <w:szCs w:val="21"/>
                <w:color w:val="auto"/>
              </w:rPr>
            </w:pPr>
          </w:p>
        </w:tc>
        <w:tc>
          <w:tcPr>
            <w:tcW w:w="500" w:type="dxa"/>
            <w:vAlign w:val="bottom"/>
            <w:tcBorders>
              <w:top w:val="single" w:sz="8" w:color="auto"/>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460" w:type="dxa"/>
            <w:vAlign w:val="bottom"/>
            <w:tcBorders>
              <w:top w:val="single" w:sz="8" w:color="auto"/>
            </w:tcBorders>
            <w:shd w:val="clear" w:color="auto" w:fill="CCEEFF"/>
          </w:tcPr>
          <w:p>
            <w:pPr>
              <w:spacing w:after="0"/>
              <w:rPr>
                <w:sz w:val="21"/>
                <w:szCs w:val="21"/>
                <w:color w:val="auto"/>
              </w:rPr>
            </w:pPr>
          </w:p>
        </w:tc>
        <w:tc>
          <w:tcPr>
            <w:tcW w:w="60" w:type="dxa"/>
            <w:vAlign w:val="bottom"/>
            <w:tcBorders>
              <w:top w:val="single" w:sz="8" w:color="auto"/>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4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620" w:type="dxa"/>
            <w:vAlign w:val="bottom"/>
            <w:tcBorders>
              <w:top w:val="single" w:sz="8" w:color="auto"/>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40" w:type="dxa"/>
            <w:vAlign w:val="bottom"/>
            <w:tcBorders>
              <w:top w:val="single" w:sz="8" w:color="auto"/>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360" w:type="dxa"/>
            <w:vAlign w:val="bottom"/>
            <w:tcBorders>
              <w:top w:val="single" w:sz="8" w:color="auto"/>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840" w:type="dxa"/>
            <w:vAlign w:val="bottom"/>
            <w:tcBorders>
              <w:top w:val="single" w:sz="8" w:color="auto"/>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185" w:type="dxa"/>
            <w:vAlign w:val="bottom"/>
            <w:tcBorders>
              <w:top w:val="single" w:sz="8" w:color="auto"/>
            </w:tcBorders>
            <w:shd w:val="clear" w:color="auto" w:fill="CCEEFF"/>
          </w:tcPr>
          <w:p>
            <w:pPr>
              <w:spacing w:after="0"/>
              <w:rPr>
                <w:sz w:val="21"/>
                <w:szCs w:val="21"/>
                <w:color w:val="auto"/>
              </w:rPr>
            </w:pPr>
          </w:p>
        </w:tc>
        <w:tc>
          <w:tcPr>
            <w:tcW w:w="835" w:type="dxa"/>
            <w:vAlign w:val="bottom"/>
            <w:tcBorders>
              <w:top w:val="single" w:sz="8" w:color="auto"/>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6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2021</w:t>
            </w:r>
          </w:p>
        </w:tc>
        <w:tc>
          <w:tcPr>
            <w:tcW w:w="4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703</w:t>
            </w:r>
          </w:p>
        </w:tc>
        <w:tc>
          <w:tcPr>
            <w:tcW w:w="22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auto"/>
                <w:w w:val="79"/>
              </w:rPr>
              <w:t>48</w:t>
            </w:r>
          </w:p>
        </w:tc>
        <w:tc>
          <w:tcPr>
            <w:tcW w:w="60" w:type="dxa"/>
            <w:vAlign w:val="bottom"/>
            <w:shd w:val="clear" w:color="auto" w:fill="CCEEFF"/>
          </w:tcPr>
          <w:p>
            <w:pPr>
              <w:spacing w:after="0"/>
              <w:rPr>
                <w:sz w:val="17"/>
                <w:szCs w:val="17"/>
                <w:color w:val="auto"/>
              </w:rPr>
            </w:pPr>
          </w:p>
        </w:tc>
        <w:tc>
          <w:tcPr>
            <w:tcW w:w="260" w:type="dxa"/>
            <w:vAlign w:val="bottom"/>
            <w:gridSpan w:val="6"/>
            <w:shd w:val="clear" w:color="auto" w:fill="CCEEFF"/>
          </w:tcPr>
          <w:p>
            <w:pPr>
              <w:ind w:left="100"/>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89"/>
                <w:shd w:val="clear" w:color="auto" w:fill="CCEEFF"/>
              </w:rPr>
              <w:t>(27,433)</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shd w:val="clear" w:color="auto" w:fill="CCEEFF"/>
              </w:rPr>
              <w:t>64,044</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(558)</w:t>
            </w:r>
          </w:p>
        </w:tc>
        <w:tc>
          <w:tcPr>
            <w:tcW w:w="220" w:type="dxa"/>
            <w:vAlign w:val="bottom"/>
            <w:gridSpan w:val="4"/>
            <w:shd w:val="clear" w:color="auto" w:fill="CCEEFF"/>
          </w:tcPr>
          <w:p>
            <w:pPr>
              <w:ind w:left="100"/>
              <w:spacing w:after="0" w:line="202" w:lineRule="exact"/>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975,977</w:t>
            </w:r>
          </w:p>
        </w:tc>
        <w:tc>
          <w:tcPr>
            <w:tcW w:w="240" w:type="dxa"/>
            <w:vAlign w:val="bottom"/>
            <w:gridSpan w:val="4"/>
            <w:shd w:val="clear" w:color="auto" w:fill="CCEEFF"/>
          </w:tcPr>
          <w:p>
            <w:pPr>
              <w:ind w:left="8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25"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35"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2"/>
                <w:shd w:val="clear" w:color="auto" w:fill="CCEEFF"/>
              </w:rPr>
              <w:t>1,012,781</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660" w:type="dxa"/>
            <w:vAlign w:val="bottom"/>
            <w:gridSpan w:val="2"/>
          </w:tcPr>
          <w:p>
            <w:pPr>
              <w:ind w:left="40"/>
              <w:spacing w:after="0"/>
              <w:rPr>
                <w:sz w:val="20"/>
                <w:szCs w:val="20"/>
                <w:color w:val="auto"/>
              </w:rPr>
            </w:pPr>
            <w:r>
              <w:rPr>
                <w:rFonts w:ascii="Arial" w:cs="Arial" w:eastAsia="Arial" w:hAnsi="Arial"/>
                <w:sz w:val="18"/>
                <w:szCs w:val="18"/>
                <w:color w:val="auto"/>
                <w:w w:val="91"/>
              </w:rPr>
              <w:t>Other comprehensive</w:t>
            </w: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5" w:type="dxa"/>
            <w:vAlign w:val="bottom"/>
          </w:tcPr>
          <w:p>
            <w:pPr>
              <w:spacing w:after="0"/>
              <w:rPr>
                <w:sz w:val="21"/>
                <w:szCs w:val="21"/>
                <w:color w:val="auto"/>
              </w:rPr>
            </w:pPr>
          </w:p>
        </w:tc>
        <w:tc>
          <w:tcPr>
            <w:tcW w:w="835"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loss, net of tax</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gridSpan w:val="4"/>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5" w:type="dxa"/>
            <w:vAlign w:val="bottom"/>
          </w:tcPr>
          <w:p>
            <w:pPr>
              <w:spacing w:after="0"/>
              <w:rPr>
                <w:sz w:val="18"/>
                <w:szCs w:val="18"/>
                <w:color w:val="auto"/>
              </w:rPr>
            </w:pPr>
          </w:p>
        </w:tc>
        <w:tc>
          <w:tcPr>
            <w:tcW w:w="835" w:type="dxa"/>
            <w:vAlign w:val="bottom"/>
          </w:tcPr>
          <w:p>
            <w:pPr>
              <w:jc w:val="right"/>
              <w:spacing w:after="0"/>
              <w:rPr>
                <w:sz w:val="20"/>
                <w:szCs w:val="20"/>
                <w:color w:val="auto"/>
              </w:rPr>
            </w:pPr>
            <w:r>
              <w:rPr>
                <w:rFonts w:ascii="Arial" w:cs="Arial" w:eastAsia="Arial" w:hAnsi="Arial"/>
                <w:sz w:val="18"/>
                <w:szCs w:val="18"/>
                <w:color w:val="auto"/>
              </w:rPr>
              <w:t>(438)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660" w:type="dxa"/>
            <w:vAlign w:val="bottom"/>
            <w:tcBorders>
              <w:right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7"/>
              </w:rPr>
              <w:t>Stock compensation</w:t>
            </w:r>
          </w:p>
        </w:tc>
        <w:tc>
          <w:tcPr>
            <w:tcW w:w="16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5" w:type="dxa"/>
            <w:vAlign w:val="bottom"/>
            <w:shd w:val="clear" w:color="auto" w:fill="CCEEFF"/>
          </w:tcPr>
          <w:p>
            <w:pPr>
              <w:spacing w:after="0"/>
              <w:rPr>
                <w:sz w:val="22"/>
                <w:szCs w:val="22"/>
                <w:color w:val="auto"/>
              </w:rPr>
            </w:pPr>
          </w:p>
        </w:tc>
        <w:tc>
          <w:tcPr>
            <w:tcW w:w="835"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1660" w:type="dxa"/>
            <w:vAlign w:val="bottom"/>
            <w:tcBorders>
              <w:right w:val="single" w:sz="8" w:color="CCEEFF"/>
            </w:tcBorders>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plan transactions</w:t>
            </w: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auto"/>
                <w:w w:val="88"/>
              </w:rPr>
              <w:t>—</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1,975</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5" w:type="dxa"/>
            <w:vAlign w:val="bottom"/>
            <w:shd w:val="clear" w:color="auto" w:fill="CCEEFF"/>
          </w:tcPr>
          <w:p>
            <w:pPr>
              <w:spacing w:after="0"/>
              <w:rPr>
                <w:sz w:val="17"/>
                <w:szCs w:val="17"/>
                <w:color w:val="auto"/>
              </w:rPr>
            </w:pPr>
          </w:p>
        </w:tc>
        <w:tc>
          <w:tcPr>
            <w:tcW w:w="835"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1,958</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Contributions</w:t>
            </w:r>
          </w:p>
        </w:tc>
        <w:tc>
          <w:tcPr>
            <w:tcW w:w="1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gridSpan w:val="4"/>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5" w:type="dxa"/>
            <w:vAlign w:val="bottom"/>
          </w:tcPr>
          <w:p>
            <w:pPr>
              <w:spacing w:after="0"/>
              <w:rPr>
                <w:sz w:val="19"/>
                <w:szCs w:val="19"/>
                <w:color w:val="auto"/>
              </w:rPr>
            </w:pPr>
          </w:p>
        </w:tc>
        <w:tc>
          <w:tcPr>
            <w:tcW w:w="835"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60" w:type="dxa"/>
            <w:vAlign w:val="bottom"/>
            <w:tcBorders>
              <w:right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1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w w:val="88"/>
              </w:rPr>
              <w:t>—</w:t>
            </w:r>
          </w:p>
        </w:tc>
        <w:tc>
          <w:tcPr>
            <w:tcW w:w="6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gridSpan w:val="2"/>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gridSpan w:val="2"/>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(16,853)</w:t>
            </w: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5" w:type="dxa"/>
            <w:vAlign w:val="bottom"/>
            <w:tcBorders>
              <w:bottom w:val="single" w:sz="8" w:color="auto"/>
            </w:tcBorders>
            <w:shd w:val="clear" w:color="auto" w:fill="CCEEFF"/>
          </w:tcPr>
          <w:p>
            <w:pPr>
              <w:spacing w:after="0"/>
              <w:rPr>
                <w:sz w:val="19"/>
                <w:szCs w:val="19"/>
                <w:color w:val="auto"/>
              </w:rPr>
            </w:pPr>
          </w:p>
        </w:tc>
        <w:tc>
          <w:tcPr>
            <w:tcW w:w="835"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(16,881)</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660" w:type="dxa"/>
            <w:vAlign w:val="bottom"/>
            <w:gridSpan w:val="2"/>
          </w:tcPr>
          <w:p>
            <w:pPr>
              <w:ind w:left="40"/>
              <w:spacing w:after="0"/>
              <w:rPr>
                <w:sz w:val="20"/>
                <w:szCs w:val="20"/>
                <w:color w:val="auto"/>
              </w:rPr>
            </w:pPr>
            <w:r>
              <w:rPr>
                <w:rFonts w:ascii="Arial" w:cs="Arial" w:eastAsia="Arial" w:hAnsi="Arial"/>
                <w:sz w:val="18"/>
                <w:szCs w:val="18"/>
                <w:color w:val="auto"/>
                <w:w w:val="91"/>
              </w:rPr>
              <w:t>Balance at November</w:t>
            </w:r>
          </w:p>
        </w:tc>
        <w:tc>
          <w:tcPr>
            <w:tcW w:w="1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5" w:type="dxa"/>
            <w:vAlign w:val="bottom"/>
            <w:shd w:val="clear" w:color="auto" w:fill="CCEEFF"/>
          </w:tcPr>
          <w:p>
            <w:pPr>
              <w:spacing w:after="0"/>
              <w:rPr>
                <w:sz w:val="21"/>
                <w:szCs w:val="21"/>
                <w:color w:val="auto"/>
              </w:rPr>
            </w:pPr>
          </w:p>
        </w:tc>
        <w:tc>
          <w:tcPr>
            <w:tcW w:w="835"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620" w:type="dxa"/>
            <w:vAlign w:val="bottom"/>
          </w:tcPr>
          <w:p>
            <w:pPr>
              <w:ind w:left="40"/>
              <w:spacing w:after="0"/>
              <w:rPr>
                <w:sz w:val="20"/>
                <w:szCs w:val="20"/>
                <w:color w:val="auto"/>
              </w:rPr>
            </w:pPr>
            <w:r>
              <w:rPr>
                <w:rFonts w:ascii="Arial" w:cs="Arial" w:eastAsia="Arial" w:hAnsi="Arial"/>
                <w:sz w:val="18"/>
                <w:szCs w:val="18"/>
                <w:color w:val="auto"/>
              </w:rPr>
              <w:t>27, 2021</w:t>
            </w:r>
          </w:p>
        </w:tc>
        <w:tc>
          <w:tcPr>
            <w:tcW w:w="40" w:type="dxa"/>
            <w:vAlign w:val="bottom"/>
          </w:tcPr>
          <w:p>
            <w:pPr>
              <w:spacing w:after="0"/>
              <w:rPr>
                <w:sz w:val="18"/>
                <w:szCs w:val="18"/>
                <w:color w:val="auto"/>
              </w:rPr>
            </w:pPr>
          </w:p>
        </w:tc>
        <w:tc>
          <w:tcPr>
            <w:tcW w:w="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80" w:type="dxa"/>
            <w:vAlign w:val="bottom"/>
            <w:tcBorders>
              <w:bottom w:val="single" w:sz="8" w:color="auto"/>
            </w:tcBorders>
            <w:gridSpan w:val="3"/>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w w:val="79"/>
              </w:rPr>
              <w:t>48</w:t>
            </w:r>
          </w:p>
        </w:tc>
        <w:tc>
          <w:tcPr>
            <w:tcW w:w="6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gridSpan w:val="3"/>
            <w:shd w:val="clear" w:color="auto" w:fill="CCEEFF"/>
          </w:tcPr>
          <w:p>
            <w:pPr>
              <w:spacing w:after="0"/>
              <w:rPr>
                <w:sz w:val="18"/>
                <w:szCs w:val="18"/>
                <w:color w:val="auto"/>
              </w:rPr>
            </w:pPr>
          </w:p>
        </w:tc>
        <w:tc>
          <w:tcPr>
            <w:tcW w:w="120" w:type="dxa"/>
            <w:vAlign w:val="bottom"/>
            <w:tcBorders>
              <w:bottom w:val="single" w:sz="8" w:color="auto"/>
            </w:tcBorders>
            <w:gridSpan w:val="2"/>
            <w:shd w:val="clear" w:color="auto" w:fill="CCEEFF"/>
          </w:tcPr>
          <w:p>
            <w:pPr>
              <w:ind w:left="40"/>
              <w:spacing w:after="0"/>
              <w:rPr>
                <w:sz w:val="20"/>
                <w:szCs w:val="20"/>
                <w:color w:val="auto"/>
              </w:rPr>
            </w:pPr>
            <w:r>
              <w:rPr>
                <w:rFonts w:ascii="Arial" w:cs="Arial" w:eastAsia="Arial" w:hAnsi="Arial"/>
                <w:sz w:val="15"/>
                <w:szCs w:val="15"/>
                <w:color w:val="auto"/>
                <w:w w:val="71"/>
                <w:shd w:val="clear" w:color="auto" w:fill="CCEEFF"/>
              </w:rPr>
              <w:t>$</w:t>
            </w: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shd w:val="clear" w:color="auto" w:fill="CCEEFF"/>
              </w:rPr>
              <w:t>(27,450)</w:t>
            </w:r>
          </w:p>
        </w:tc>
        <w:tc>
          <w:tcPr>
            <w:tcW w:w="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66,019</w:t>
            </w:r>
          </w:p>
        </w:tc>
        <w:tc>
          <w:tcPr>
            <w:tcW w:w="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gridSpan w:val="2"/>
            <w:shd w:val="clear" w:color="auto" w:fill="CCEEFF"/>
          </w:tcPr>
          <w:p>
            <w:pPr>
              <w:ind w:left="40"/>
              <w:spacing w:after="0"/>
              <w:rPr>
                <w:sz w:val="20"/>
                <w:szCs w:val="20"/>
                <w:color w:val="auto"/>
              </w:rPr>
            </w:pPr>
            <w:r>
              <w:rPr>
                <w:rFonts w:ascii="Arial" w:cs="Arial" w:eastAsia="Arial" w:hAnsi="Arial"/>
                <w:sz w:val="18"/>
                <w:szCs w:val="18"/>
                <w:color w:val="auto"/>
                <w:w w:val="99"/>
                <w:shd w:val="clear" w:color="auto" w:fill="CCEEFF"/>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60" w:type="dxa"/>
            <w:vAlign w:val="bottom"/>
            <w:tcBorders>
              <w:bottom w:val="single" w:sz="8" w:color="auto"/>
            </w:tcBorders>
            <w:gridSpan w:val="3"/>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9"/>
                <w:shd w:val="clear" w:color="auto" w:fill="CCEEFF"/>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959,124</w:t>
            </w:r>
          </w:p>
        </w:tc>
        <w:tc>
          <w:tcPr>
            <w:tcW w:w="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40" w:type="dxa"/>
            <w:vAlign w:val="bottom"/>
            <w:tcBorders>
              <w:bottom w:val="single" w:sz="8" w:color="auto"/>
            </w:tcBorders>
            <w:gridSpan w:val="2"/>
            <w:shd w:val="clear" w:color="auto" w:fill="CCEEFF"/>
          </w:tcPr>
          <w:p>
            <w:pPr>
              <w:spacing w:after="0"/>
              <w:rPr>
                <w:sz w:val="18"/>
                <w:szCs w:val="18"/>
                <w:color w:val="auto"/>
              </w:rPr>
            </w:pPr>
          </w:p>
        </w:tc>
        <w:tc>
          <w:tcPr>
            <w:tcW w:w="185"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shd w:val="clear" w:color="auto" w:fill="CCEEFF"/>
              </w:rPr>
              <w:t>$</w:t>
            </w:r>
          </w:p>
        </w:tc>
        <w:tc>
          <w:tcPr>
            <w:tcW w:w="835"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997,423</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5" w:type="dxa"/>
            <w:vAlign w:val="bottom"/>
            <w:tcBorders>
              <w:bottom w:val="single" w:sz="8" w:color="auto"/>
            </w:tcBorders>
          </w:tcPr>
          <w:p>
            <w:pPr>
              <w:spacing w:after="0" w:line="20" w:lineRule="exact"/>
              <w:rPr>
                <w:sz w:val="1"/>
                <w:szCs w:val="1"/>
                <w:color w:val="auto"/>
              </w:rPr>
            </w:pPr>
          </w:p>
        </w:tc>
        <w:tc>
          <w:tcPr>
            <w:tcW w:w="835"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Note 6 - Net Income (Loss) per Common Share</w:t>
      </w:r>
    </w:p>
    <w:p>
      <w:pPr>
        <w:spacing w:after="0" w:line="229" w:lineRule="exact"/>
        <w:rPr>
          <w:sz w:val="20"/>
          <w:szCs w:val="20"/>
          <w:color w:val="auto"/>
        </w:rPr>
      </w:pPr>
    </w:p>
    <w:p>
      <w:pPr>
        <w:jc w:val="both"/>
        <w:ind w:right="20"/>
        <w:spacing w:after="0" w:line="295" w:lineRule="auto"/>
        <w:rPr>
          <w:sz w:val="20"/>
          <w:szCs w:val="20"/>
          <w:color w:val="auto"/>
        </w:rPr>
      </w:pPr>
      <w:r>
        <w:rPr>
          <w:rFonts w:ascii="Arial" w:cs="Arial" w:eastAsia="Arial" w:hAnsi="Arial"/>
          <w:sz w:val="16"/>
          <w:szCs w:val="16"/>
          <w:color w:val="auto"/>
        </w:rPr>
        <w:t>Basic net income (loss) per share is based on the weighted average Common Stock and Class A Common Stock outstanding. Diluted net income per share is based on weighted-average common shares outstanding during the relevant period adjusted for the dilutive effect of share-based awards. Restricted shares of 145 thousand were antidilutive due to the net loss for the first twenty-six weeks of fiscal 2022. These shares were not included in the diluted net loss per share calculation.</w:t>
      </w:r>
    </w:p>
    <w:p>
      <w:pPr>
        <w:sectPr>
          <w:pgSz w:w="11900" w:h="16838" w:orient="portrait"/>
          <w:cols w:equalWidth="0" w:num="1">
            <w:col w:w="9260"/>
          </w:cols>
          <w:pgMar w:left="1320" w:top="297"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9260"/>
          </w:cols>
          <w:pgMar w:left="1320" w:top="297" w:right="1319" w:bottom="1440" w:gutter="0" w:footer="0" w:header="0"/>
          <w:type w:val="continuous"/>
        </w:sectPr>
      </w:pPr>
    </w:p>
    <w:bookmarkStart w:id="12" w:name="page13"/>
    <w:bookmarkEnd w:id="12"/>
    <w:p>
      <w:pPr>
        <w:jc w:val="center"/>
        <w:ind w:right="20"/>
        <w:spacing w:after="0"/>
        <w:rPr>
          <w:sz w:val="20"/>
          <w:szCs w:val="20"/>
          <w:color w:val="auto"/>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82"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The following table provides a reconciliation of the numerators and denominators used to determine basic and diluted net income (loss) per common share (amounts in thousands, except per share data):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4"/>
          </w:tcPr>
          <w:p>
            <w:pPr>
              <w:jc w:val="right"/>
              <w:ind w:right="570"/>
              <w:spacing w:after="0"/>
              <w:rPr>
                <w:sz w:val="20"/>
                <w:szCs w:val="20"/>
                <w:color w:val="auto"/>
              </w:rPr>
            </w:pPr>
            <w:r>
              <w:rPr>
                <w:rFonts w:ascii="Arial" w:cs="Arial" w:eastAsia="Arial" w:hAnsi="Arial"/>
                <w:sz w:val="18"/>
                <w:szCs w:val="18"/>
                <w:color w:val="auto"/>
              </w:rPr>
              <w:t>Thirteen Weeks Ended</w:t>
            </w:r>
          </w:p>
        </w:tc>
        <w:tc>
          <w:tcPr>
            <w:tcW w:w="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4"/>
          </w:tcPr>
          <w:p>
            <w:pPr>
              <w:ind w:left="380"/>
              <w:spacing w:after="0"/>
              <w:rPr>
                <w:sz w:val="20"/>
                <w:szCs w:val="20"/>
                <w:color w:val="auto"/>
              </w:rPr>
            </w:pPr>
            <w:r>
              <w:rPr>
                <w:rFonts w:ascii="Arial" w:cs="Arial" w:eastAsia="Arial" w:hAnsi="Arial"/>
                <w:sz w:val="18"/>
                <w:szCs w:val="18"/>
                <w:color w:val="auto"/>
              </w:rPr>
              <w:t>Twenty-six Weeks Ended</w:t>
            </w:r>
          </w:p>
        </w:tc>
      </w:tr>
      <w:tr>
        <w:trPr>
          <w:trHeight w:val="196"/>
        </w:trPr>
        <w:tc>
          <w:tcPr>
            <w:tcW w:w="4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ind w:right="130"/>
              <w:spacing w:after="0" w:line="195" w:lineRule="exact"/>
              <w:rPr>
                <w:sz w:val="20"/>
                <w:szCs w:val="20"/>
                <w:color w:val="auto"/>
              </w:rPr>
            </w:pPr>
            <w:r>
              <w:rPr>
                <w:rFonts w:ascii="Arial" w:cs="Arial" w:eastAsia="Arial" w:hAnsi="Arial"/>
                <w:sz w:val="18"/>
                <w:szCs w:val="18"/>
                <w:color w:val="auto"/>
                <w:w w:val="88"/>
              </w:rPr>
              <w:t>November 26,</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ind w:right="130"/>
              <w:spacing w:after="0" w:line="195" w:lineRule="exact"/>
              <w:rPr>
                <w:sz w:val="20"/>
                <w:szCs w:val="20"/>
                <w:color w:val="auto"/>
              </w:rPr>
            </w:pPr>
            <w:r>
              <w:rPr>
                <w:rFonts w:ascii="Arial" w:cs="Arial" w:eastAsia="Arial" w:hAnsi="Arial"/>
                <w:sz w:val="18"/>
                <w:szCs w:val="18"/>
                <w:color w:val="auto"/>
                <w:w w:val="93"/>
              </w:rPr>
              <w:t>November 27,</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ind w:right="130"/>
              <w:spacing w:after="0" w:line="195" w:lineRule="exact"/>
              <w:rPr>
                <w:sz w:val="20"/>
                <w:szCs w:val="20"/>
                <w:color w:val="auto"/>
              </w:rPr>
            </w:pPr>
            <w:r>
              <w:rPr>
                <w:rFonts w:ascii="Arial" w:cs="Arial" w:eastAsia="Arial" w:hAnsi="Arial"/>
                <w:sz w:val="18"/>
                <w:szCs w:val="18"/>
                <w:color w:val="auto"/>
                <w:w w:val="91"/>
              </w:rPr>
              <w:t>November 26,</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ind w:right="130"/>
              <w:spacing w:after="0" w:line="195" w:lineRule="exact"/>
              <w:rPr>
                <w:sz w:val="20"/>
                <w:szCs w:val="20"/>
                <w:color w:val="auto"/>
              </w:rPr>
            </w:pPr>
            <w:r>
              <w:rPr>
                <w:rFonts w:ascii="Arial" w:cs="Arial" w:eastAsia="Arial" w:hAnsi="Arial"/>
                <w:sz w:val="18"/>
                <w:szCs w:val="18"/>
                <w:color w:val="auto"/>
                <w:w w:val="91"/>
              </w:rPr>
              <w:t>November 27,</w:t>
            </w:r>
          </w:p>
        </w:tc>
      </w:tr>
      <w:tr>
        <w:trPr>
          <w:trHeight w:val="203"/>
        </w:trPr>
        <w:tc>
          <w:tcPr>
            <w:tcW w:w="40" w:type="dxa"/>
            <w:vAlign w:val="bottom"/>
            <w:tcBorders>
              <w:bottom w:val="single" w:sz="8" w:color="CCEEFF"/>
            </w:tcBorders>
          </w:tcPr>
          <w:p>
            <w:pPr>
              <w:spacing w:after="0"/>
              <w:rPr>
                <w:sz w:val="17"/>
                <w:szCs w:val="17"/>
                <w:color w:val="auto"/>
              </w:rPr>
            </w:pPr>
          </w:p>
        </w:tc>
        <w:tc>
          <w:tcPr>
            <w:tcW w:w="32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50"/>
              <w:spacing w:after="0" w:line="203" w:lineRule="exact"/>
              <w:rPr>
                <w:sz w:val="20"/>
                <w:szCs w:val="20"/>
                <w:color w:val="auto"/>
              </w:rPr>
            </w:pPr>
            <w:r>
              <w:rPr>
                <w:rFonts w:ascii="Arial" w:cs="Arial" w:eastAsia="Arial" w:hAnsi="Arial"/>
                <w:sz w:val="18"/>
                <w:szCs w:val="18"/>
                <w:color w:val="auto"/>
              </w:rPr>
              <w:t>2022</w:t>
            </w:r>
          </w:p>
        </w:tc>
        <w:tc>
          <w:tcPr>
            <w:tcW w:w="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70"/>
              <w:spacing w:after="0" w:line="203" w:lineRule="exact"/>
              <w:rPr>
                <w:sz w:val="20"/>
                <w:szCs w:val="20"/>
                <w:color w:val="auto"/>
              </w:rPr>
            </w:pPr>
            <w:r>
              <w:rPr>
                <w:rFonts w:ascii="Arial" w:cs="Arial" w:eastAsia="Arial" w:hAnsi="Arial"/>
                <w:sz w:val="18"/>
                <w:szCs w:val="18"/>
                <w:color w:val="auto"/>
              </w:rPr>
              <w:t>2021</w:t>
            </w:r>
          </w:p>
        </w:tc>
        <w:tc>
          <w:tcPr>
            <w:tcW w:w="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ind w:left="380"/>
              <w:spacing w:after="0" w:line="203" w:lineRule="exact"/>
              <w:rPr>
                <w:sz w:val="20"/>
                <w:szCs w:val="20"/>
                <w:color w:val="auto"/>
              </w:rPr>
            </w:pPr>
            <w:r>
              <w:rPr>
                <w:rFonts w:ascii="Arial" w:cs="Arial" w:eastAsia="Arial" w:hAnsi="Arial"/>
                <w:sz w:val="18"/>
                <w:szCs w:val="18"/>
                <w:color w:val="auto"/>
              </w:rPr>
              <w:t>2022</w:t>
            </w:r>
          </w:p>
        </w:tc>
        <w:tc>
          <w:tcPr>
            <w:tcW w:w="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50"/>
              <w:spacing w:after="0" w:line="203" w:lineRule="exact"/>
              <w:rPr>
                <w:sz w:val="20"/>
                <w:szCs w:val="20"/>
                <w:color w:val="auto"/>
              </w:rPr>
            </w:pPr>
            <w:r>
              <w:rPr>
                <w:rFonts w:ascii="Arial" w:cs="Arial" w:eastAsia="Arial" w:hAnsi="Arial"/>
                <w:sz w:val="18"/>
                <w:szCs w:val="18"/>
                <w:color w:val="auto"/>
              </w:rPr>
              <w:t>2021</w:t>
            </w:r>
          </w:p>
        </w:tc>
      </w:tr>
      <w:tr>
        <w:trPr>
          <w:trHeight w:val="20"/>
        </w:trPr>
        <w:tc>
          <w:tcPr>
            <w:tcW w:w="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17"/>
        </w:trPr>
        <w:tc>
          <w:tcPr>
            <w:tcW w:w="4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29"/>
        </w:trPr>
        <w:tc>
          <w:tcPr>
            <w:tcW w:w="40" w:type="dxa"/>
            <w:vAlign w:val="bottom"/>
          </w:tcPr>
          <w:p>
            <w:pPr>
              <w:spacing w:after="0"/>
              <w:rPr>
                <w:sz w:val="19"/>
                <w:szCs w:val="19"/>
                <w:color w:val="auto"/>
              </w:rPr>
            </w:pPr>
          </w:p>
        </w:tc>
        <w:tc>
          <w:tcPr>
            <w:tcW w:w="3300" w:type="dxa"/>
            <w:vAlign w:val="bottom"/>
            <w:gridSpan w:val="2"/>
          </w:tcPr>
          <w:p>
            <w:pPr>
              <w:ind w:left="260"/>
              <w:spacing w:after="0"/>
              <w:rPr>
                <w:sz w:val="20"/>
                <w:szCs w:val="20"/>
                <w:color w:val="auto"/>
              </w:rPr>
            </w:pPr>
            <w:r>
              <w:rPr>
                <w:rFonts w:ascii="Arial" w:cs="Arial" w:eastAsia="Arial" w:hAnsi="Arial"/>
                <w:sz w:val="18"/>
                <w:szCs w:val="18"/>
                <w:color w:val="auto"/>
              </w:rPr>
              <w:t>Net income (loss)</w:t>
            </w:r>
          </w:p>
        </w:tc>
        <w:tc>
          <w:tcPr>
            <w:tcW w:w="200" w:type="dxa"/>
            <w:vAlign w:val="bottom"/>
          </w:tcPr>
          <w:p>
            <w:pPr>
              <w:ind w:left="4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198,294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1,145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323,428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(16,881)</w:t>
            </w:r>
          </w:p>
        </w:tc>
      </w:tr>
      <w:tr>
        <w:trPr>
          <w:trHeight w:val="243"/>
        </w:trPr>
        <w:tc>
          <w:tcPr>
            <w:tcW w:w="40" w:type="dxa"/>
            <w:vAlign w:val="bottom"/>
            <w:shd w:val="clear" w:color="auto" w:fill="CCEEFF"/>
          </w:tcPr>
          <w:p>
            <w:pPr>
              <w:spacing w:after="0"/>
              <w:rPr>
                <w:sz w:val="21"/>
                <w:szCs w:val="21"/>
                <w:color w:val="auto"/>
              </w:rPr>
            </w:pPr>
          </w:p>
        </w:tc>
        <w:tc>
          <w:tcPr>
            <w:tcW w:w="328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4"/>
              </w:rPr>
              <w:t>Less: Loss attributable to noncontrolling</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r>
      <w:tr>
        <w:trPr>
          <w:trHeight w:val="203"/>
        </w:trPr>
        <w:tc>
          <w:tcPr>
            <w:tcW w:w="40" w:type="dxa"/>
            <w:vAlign w:val="bottom"/>
            <w:tcBorders>
              <w:bottom w:val="single" w:sz="8" w:color="CCEEFF"/>
            </w:tcBorders>
            <w:shd w:val="clear" w:color="auto" w:fill="CCEEFF"/>
          </w:tcPr>
          <w:p>
            <w:pPr>
              <w:spacing w:after="0"/>
              <w:rPr>
                <w:sz w:val="17"/>
                <w:szCs w:val="17"/>
                <w:color w:val="auto"/>
              </w:rPr>
            </w:pPr>
          </w:p>
        </w:tc>
        <w:tc>
          <w:tcPr>
            <w:tcW w:w="3280" w:type="dxa"/>
            <w:vAlign w:val="bottom"/>
            <w:tcBorders>
              <w:bottom w:val="single" w:sz="8" w:color="CCEEFF"/>
            </w:tcBorders>
            <w:shd w:val="clear" w:color="auto" w:fill="CCEEFF"/>
          </w:tcPr>
          <w:p>
            <w:pPr>
              <w:ind w:left="260"/>
              <w:spacing w:after="0" w:line="202" w:lineRule="exact"/>
              <w:rPr>
                <w:sz w:val="20"/>
                <w:szCs w:val="20"/>
                <w:color w:val="auto"/>
              </w:rPr>
            </w:pPr>
            <w:r>
              <w:rPr>
                <w:rFonts w:ascii="Arial" w:cs="Arial" w:eastAsia="Arial" w:hAnsi="Arial"/>
                <w:sz w:val="18"/>
                <w:szCs w:val="18"/>
                <w:color w:val="auto"/>
              </w:rPr>
              <w:t>interest</w:t>
            </w: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(293)</w:t>
            </w:r>
          </w:p>
        </w:tc>
        <w:tc>
          <w:tcPr>
            <w:tcW w:w="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(28)</w:t>
            </w:r>
          </w:p>
        </w:tc>
        <w:tc>
          <w:tcPr>
            <w:tcW w:w="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(446)</w:t>
            </w:r>
          </w:p>
        </w:tc>
        <w:tc>
          <w:tcPr>
            <w:tcW w:w="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(28)</w:t>
            </w:r>
          </w:p>
        </w:tc>
      </w:tr>
      <w:tr>
        <w:trPr>
          <w:trHeight w:val="263"/>
        </w:trPr>
        <w:tc>
          <w:tcPr>
            <w:tcW w:w="40" w:type="dxa"/>
            <w:vAlign w:val="bottom"/>
          </w:tcPr>
          <w:p>
            <w:pPr>
              <w:spacing w:after="0"/>
              <w:rPr>
                <w:sz w:val="22"/>
                <w:szCs w:val="22"/>
                <w:color w:val="auto"/>
              </w:rPr>
            </w:pPr>
          </w:p>
        </w:tc>
        <w:tc>
          <w:tcPr>
            <w:tcW w:w="3300" w:type="dxa"/>
            <w:vAlign w:val="bottom"/>
            <w:gridSpan w:val="2"/>
          </w:tcPr>
          <w:p>
            <w:pPr>
              <w:ind w:left="260"/>
              <w:spacing w:after="0"/>
              <w:rPr>
                <w:sz w:val="20"/>
                <w:szCs w:val="20"/>
                <w:color w:val="auto"/>
              </w:rPr>
            </w:pPr>
            <w:r>
              <w:rPr>
                <w:rFonts w:ascii="Arial" w:cs="Arial" w:eastAsia="Arial" w:hAnsi="Arial"/>
                <w:sz w:val="18"/>
                <w:szCs w:val="18"/>
                <w:color w:val="auto"/>
              </w:rPr>
              <w:t>Net income (loss) attributable to Cal-</w:t>
            </w:r>
          </w:p>
        </w:tc>
        <w:tc>
          <w:tcPr>
            <w:tcW w:w="2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43"/>
        </w:trPr>
        <w:tc>
          <w:tcPr>
            <w:tcW w:w="40" w:type="dxa"/>
            <w:vAlign w:val="bottom"/>
          </w:tcPr>
          <w:p>
            <w:pPr>
              <w:spacing w:after="0"/>
              <w:rPr>
                <w:sz w:val="21"/>
                <w:szCs w:val="21"/>
                <w:color w:val="auto"/>
              </w:rPr>
            </w:pPr>
          </w:p>
        </w:tc>
        <w:tc>
          <w:tcPr>
            <w:tcW w:w="3300" w:type="dxa"/>
            <w:vAlign w:val="bottom"/>
            <w:gridSpan w:val="2"/>
          </w:tcPr>
          <w:p>
            <w:pPr>
              <w:ind w:left="260"/>
              <w:spacing w:after="0" w:line="203" w:lineRule="exact"/>
              <w:rPr>
                <w:sz w:val="20"/>
                <w:szCs w:val="20"/>
                <w:color w:val="auto"/>
              </w:rPr>
            </w:pPr>
            <w:r>
              <w:rPr>
                <w:rFonts w:ascii="Arial" w:cs="Arial" w:eastAsia="Arial" w:hAnsi="Arial"/>
                <w:sz w:val="18"/>
                <w:szCs w:val="18"/>
                <w:color w:val="auto"/>
              </w:rPr>
              <w:t>Maine Foods, Inc.</w:t>
            </w:r>
          </w:p>
        </w:tc>
        <w:tc>
          <w:tcPr>
            <w:tcW w:w="200" w:type="dxa"/>
            <w:vAlign w:val="bottom"/>
          </w:tcPr>
          <w:p>
            <w:pPr>
              <w:ind w:left="40"/>
              <w:spacing w:after="0" w:line="203"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203" w:lineRule="exact"/>
              <w:rPr>
                <w:sz w:val="20"/>
                <w:szCs w:val="20"/>
                <w:color w:val="auto"/>
              </w:rPr>
            </w:pPr>
            <w:r>
              <w:rPr>
                <w:rFonts w:ascii="Arial" w:cs="Arial" w:eastAsia="Arial" w:hAnsi="Arial"/>
                <w:sz w:val="18"/>
                <w:szCs w:val="18"/>
                <w:color w:val="auto"/>
              </w:rPr>
              <w:t>198,587</w:t>
            </w:r>
          </w:p>
        </w:tc>
        <w:tc>
          <w:tcPr>
            <w:tcW w:w="20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line="203" w:lineRule="exact"/>
              <w:rPr>
                <w:sz w:val="20"/>
                <w:szCs w:val="20"/>
                <w:color w:val="auto"/>
              </w:rPr>
            </w:pPr>
            <w:r>
              <w:rPr>
                <w:rFonts w:ascii="Arial" w:cs="Arial" w:eastAsia="Arial" w:hAnsi="Arial"/>
                <w:sz w:val="18"/>
                <w:szCs w:val="18"/>
                <w:color w:val="auto"/>
              </w:rPr>
              <w:t>1,173</w:t>
            </w:r>
          </w:p>
        </w:tc>
        <w:tc>
          <w:tcPr>
            <w:tcW w:w="20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line="203" w:lineRule="exact"/>
              <w:rPr>
                <w:sz w:val="20"/>
                <w:szCs w:val="20"/>
                <w:color w:val="auto"/>
              </w:rPr>
            </w:pPr>
            <w:r>
              <w:rPr>
                <w:rFonts w:ascii="Arial" w:cs="Arial" w:eastAsia="Arial" w:hAnsi="Arial"/>
                <w:sz w:val="18"/>
                <w:szCs w:val="18"/>
                <w:color w:val="auto"/>
              </w:rPr>
              <w:t>323,874</w:t>
            </w:r>
          </w:p>
        </w:tc>
        <w:tc>
          <w:tcPr>
            <w:tcW w:w="20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1280" w:type="dxa"/>
            <w:vAlign w:val="bottom"/>
          </w:tcPr>
          <w:p>
            <w:pPr>
              <w:jc w:val="right"/>
              <w:spacing w:after="0" w:line="203" w:lineRule="exact"/>
              <w:rPr>
                <w:sz w:val="20"/>
                <w:szCs w:val="20"/>
                <w:color w:val="auto"/>
              </w:rPr>
            </w:pPr>
            <w:r>
              <w:rPr>
                <w:rFonts w:ascii="Arial" w:cs="Arial" w:eastAsia="Arial" w:hAnsi="Arial"/>
                <w:sz w:val="18"/>
                <w:szCs w:val="18"/>
                <w:color w:val="auto"/>
              </w:rPr>
              <w:t>(16,853)</w:t>
            </w:r>
          </w:p>
        </w:tc>
      </w:tr>
      <w:tr>
        <w:trPr>
          <w:trHeight w:val="183"/>
        </w:trPr>
        <w:tc>
          <w:tcPr>
            <w:tcW w:w="3320" w:type="dxa"/>
            <w:vAlign w:val="bottom"/>
            <w:tcBorders>
              <w:top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r>
      <w:tr>
        <w:trPr>
          <w:trHeight w:val="229"/>
        </w:trPr>
        <w:tc>
          <w:tcPr>
            <w:tcW w:w="3340" w:type="dxa"/>
            <w:vAlign w:val="bottom"/>
            <w:gridSpan w:val="3"/>
          </w:tcPr>
          <w:p>
            <w:pPr>
              <w:ind w:left="40"/>
              <w:spacing w:after="0"/>
              <w:rPr>
                <w:sz w:val="20"/>
                <w:szCs w:val="20"/>
                <w:color w:val="auto"/>
              </w:rPr>
            </w:pPr>
            <w:r>
              <w:rPr>
                <w:rFonts w:ascii="Arial" w:cs="Arial" w:eastAsia="Arial" w:hAnsi="Arial"/>
                <w:sz w:val="18"/>
                <w:szCs w:val="18"/>
                <w:color w:val="auto"/>
              </w:rPr>
              <w:t>Denominator</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57"/>
        </w:trPr>
        <w:tc>
          <w:tcPr>
            <w:tcW w:w="40" w:type="dxa"/>
            <w:vAlign w:val="bottom"/>
            <w:shd w:val="clear" w:color="auto" w:fill="CCEEFF"/>
          </w:tcPr>
          <w:p>
            <w:pPr>
              <w:spacing w:after="0"/>
              <w:rPr>
                <w:sz w:val="22"/>
                <w:szCs w:val="22"/>
                <w:color w:val="auto"/>
              </w:rPr>
            </w:pPr>
          </w:p>
        </w:tc>
        <w:tc>
          <w:tcPr>
            <w:tcW w:w="32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Weighted-average common shares</w:t>
            </w: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r>
      <w:tr>
        <w:trPr>
          <w:trHeight w:val="203"/>
        </w:trPr>
        <w:tc>
          <w:tcPr>
            <w:tcW w:w="40" w:type="dxa"/>
            <w:vAlign w:val="bottom"/>
            <w:shd w:val="clear" w:color="auto" w:fill="CCEEFF"/>
          </w:tcPr>
          <w:p>
            <w:pPr>
              <w:spacing w:after="0"/>
              <w:rPr>
                <w:sz w:val="17"/>
                <w:szCs w:val="17"/>
                <w:color w:val="auto"/>
              </w:rPr>
            </w:pPr>
          </w:p>
        </w:tc>
        <w:tc>
          <w:tcPr>
            <w:tcW w:w="328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color w:val="auto"/>
              </w:rPr>
              <w:t>outstanding, basic</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48,624</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48,857</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48,624</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48,859</w:t>
            </w:r>
          </w:p>
        </w:tc>
      </w:tr>
      <w:tr>
        <w:trPr>
          <w:trHeight w:val="229"/>
        </w:trPr>
        <w:tc>
          <w:tcPr>
            <w:tcW w:w="40" w:type="dxa"/>
            <w:vAlign w:val="bottom"/>
            <w:tcBorders>
              <w:bottom w:val="single" w:sz="8" w:color="CCEEFF"/>
            </w:tcBorders>
          </w:tcPr>
          <w:p>
            <w:pPr>
              <w:spacing w:after="0"/>
              <w:rPr>
                <w:sz w:val="19"/>
                <w:szCs w:val="19"/>
                <w:color w:val="auto"/>
              </w:rPr>
            </w:pPr>
          </w:p>
        </w:tc>
        <w:tc>
          <w:tcPr>
            <w:tcW w:w="3300" w:type="dxa"/>
            <w:vAlign w:val="bottom"/>
            <w:tcBorders>
              <w:bottom w:val="single" w:sz="8" w:color="CCEEFF"/>
            </w:tcBorders>
            <w:gridSpan w:val="2"/>
          </w:tcPr>
          <w:p>
            <w:pPr>
              <w:ind w:left="260"/>
              <w:spacing w:after="0"/>
              <w:rPr>
                <w:sz w:val="20"/>
                <w:szCs w:val="20"/>
                <w:color w:val="auto"/>
              </w:rPr>
            </w:pPr>
            <w:r>
              <w:rPr>
                <w:rFonts w:ascii="Arial" w:cs="Arial" w:eastAsia="Arial" w:hAnsi="Arial"/>
                <w:sz w:val="18"/>
                <w:szCs w:val="18"/>
                <w:color w:val="auto"/>
              </w:rPr>
              <w:t>Effect of dilutive restricted shares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159</w:t>
            </w:r>
          </w:p>
        </w:tc>
        <w:tc>
          <w:tcPr>
            <w:tcW w:w="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203</w:t>
            </w:r>
          </w:p>
        </w:tc>
        <w:tc>
          <w:tcPr>
            <w:tcW w:w="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40" w:type="dxa"/>
            <w:vAlign w:val="bottom"/>
            <w:shd w:val="clear" w:color="auto" w:fill="CCEEFF"/>
          </w:tcPr>
          <w:p>
            <w:pPr>
              <w:spacing w:after="0"/>
              <w:rPr>
                <w:sz w:val="22"/>
                <w:szCs w:val="22"/>
                <w:color w:val="auto"/>
              </w:rPr>
            </w:pPr>
          </w:p>
        </w:tc>
        <w:tc>
          <w:tcPr>
            <w:tcW w:w="32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Weighted-average common shares</w:t>
            </w: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r>
      <w:tr>
        <w:trPr>
          <w:trHeight w:val="203"/>
        </w:trPr>
        <w:tc>
          <w:tcPr>
            <w:tcW w:w="40" w:type="dxa"/>
            <w:vAlign w:val="bottom"/>
            <w:shd w:val="clear" w:color="auto" w:fill="CCEEFF"/>
          </w:tcPr>
          <w:p>
            <w:pPr>
              <w:spacing w:after="0"/>
              <w:rPr>
                <w:sz w:val="17"/>
                <w:szCs w:val="17"/>
                <w:color w:val="auto"/>
              </w:rPr>
            </w:pPr>
          </w:p>
        </w:tc>
        <w:tc>
          <w:tcPr>
            <w:tcW w:w="328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color w:val="auto"/>
              </w:rPr>
              <w:t>outstanding, diluted</w:t>
            </w:r>
          </w:p>
        </w:tc>
        <w:tc>
          <w:tcPr>
            <w:tcW w:w="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48,840</w:t>
            </w:r>
          </w:p>
        </w:tc>
        <w:tc>
          <w:tcPr>
            <w:tcW w:w="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49,016</w:t>
            </w:r>
          </w:p>
        </w:tc>
        <w:tc>
          <w:tcPr>
            <w:tcW w:w="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48,827</w:t>
            </w:r>
          </w:p>
        </w:tc>
        <w:tc>
          <w:tcPr>
            <w:tcW w:w="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48,859</w:t>
            </w:r>
          </w:p>
        </w:tc>
      </w:tr>
      <w:tr>
        <w:trPr>
          <w:trHeight w:val="20"/>
        </w:trPr>
        <w:tc>
          <w:tcPr>
            <w:tcW w:w="3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57"/>
        </w:trPr>
        <w:tc>
          <w:tcPr>
            <w:tcW w:w="40" w:type="dxa"/>
            <w:vAlign w:val="bottom"/>
            <w:shd w:val="clear" w:color="auto" w:fill="CCEEFF"/>
          </w:tcPr>
          <w:p>
            <w:pPr>
              <w:spacing w:after="0"/>
              <w:rPr>
                <w:sz w:val="22"/>
                <w:szCs w:val="22"/>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common share</w:t>
            </w: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r>
      <w:tr>
        <w:trPr>
          <w:trHeight w:val="203"/>
        </w:trPr>
        <w:tc>
          <w:tcPr>
            <w:tcW w:w="40" w:type="dxa"/>
            <w:vAlign w:val="bottom"/>
            <w:shd w:val="clear" w:color="auto" w:fill="CCEEFF"/>
          </w:tcPr>
          <w:p>
            <w:pPr>
              <w:spacing w:after="0"/>
              <w:rPr>
                <w:sz w:val="17"/>
                <w:szCs w:val="17"/>
                <w:color w:val="auto"/>
              </w:rPr>
            </w:pPr>
          </w:p>
        </w:tc>
        <w:tc>
          <w:tcPr>
            <w:tcW w:w="3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attributable to Cal-Maine Foods, Inc.</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303"/>
        </w:trPr>
        <w:tc>
          <w:tcPr>
            <w:tcW w:w="40" w:type="dxa"/>
            <w:vAlign w:val="bottom"/>
          </w:tcPr>
          <w:p>
            <w:pPr>
              <w:spacing w:after="0"/>
              <w:rPr>
                <w:sz w:val="24"/>
                <w:szCs w:val="24"/>
                <w:color w:val="auto"/>
              </w:rPr>
            </w:pPr>
          </w:p>
        </w:tc>
        <w:tc>
          <w:tcPr>
            <w:tcW w:w="3300" w:type="dxa"/>
            <w:vAlign w:val="bottom"/>
            <w:gridSpan w:val="2"/>
          </w:tcPr>
          <w:p>
            <w:pPr>
              <w:ind w:left="260"/>
              <w:spacing w:after="0"/>
              <w:rPr>
                <w:sz w:val="20"/>
                <w:szCs w:val="20"/>
                <w:color w:val="auto"/>
              </w:rPr>
            </w:pPr>
            <w:r>
              <w:rPr>
                <w:rFonts w:ascii="Arial" w:cs="Arial" w:eastAsia="Arial" w:hAnsi="Arial"/>
                <w:sz w:val="18"/>
                <w:szCs w:val="18"/>
                <w:color w:val="auto"/>
              </w:rPr>
              <w:t>Basic</w:t>
            </w:r>
          </w:p>
        </w:tc>
        <w:tc>
          <w:tcPr>
            <w:tcW w:w="200" w:type="dxa"/>
            <w:vAlign w:val="bottom"/>
          </w:tcPr>
          <w:p>
            <w:pPr>
              <w:ind w:left="4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4.08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0.02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6.66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(0.34)</w:t>
            </w:r>
          </w:p>
        </w:tc>
      </w:tr>
      <w:tr>
        <w:trPr>
          <w:trHeight w:val="217"/>
        </w:trPr>
        <w:tc>
          <w:tcPr>
            <w:tcW w:w="40" w:type="dxa"/>
            <w:vAlign w:val="bottom"/>
            <w:tcBorders>
              <w:top w:val="single" w:sz="8" w:color="CCEEFF"/>
            </w:tcBorders>
            <w:shd w:val="clear" w:color="auto" w:fill="CCEEFF"/>
          </w:tcPr>
          <w:p>
            <w:pPr>
              <w:spacing w:after="0"/>
              <w:rPr>
                <w:sz w:val="18"/>
                <w:szCs w:val="18"/>
                <w:color w:val="auto"/>
              </w:rPr>
            </w:pPr>
          </w:p>
        </w:tc>
        <w:tc>
          <w:tcPr>
            <w:tcW w:w="328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Diluted</w:t>
            </w:r>
          </w:p>
        </w:tc>
        <w:tc>
          <w:tcPr>
            <w:tcW w:w="20" w:type="dxa"/>
            <w:vAlign w:val="bottom"/>
            <w:tcBorders>
              <w:top w:val="single" w:sz="8" w:color="CCEEFF"/>
              <w:bottom w:val="single" w:sz="8" w:color="auto"/>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0.02</w:t>
            </w: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shd w:val="clear" w:color="auto" w:fill="CCEEFF"/>
              </w:rPr>
              <w:t>$</w:t>
            </w:r>
          </w:p>
        </w:tc>
        <w:tc>
          <w:tcPr>
            <w:tcW w:w="12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6.63</w:t>
            </w: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shd w:val="clear" w:color="auto" w:fill="CCEEFF"/>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(0.34)</w:t>
            </w:r>
          </w:p>
        </w:tc>
      </w:tr>
      <w:tr>
        <w:trPr>
          <w:trHeight w:val="20"/>
        </w:trPr>
        <w:tc>
          <w:tcPr>
            <w:tcW w:w="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Revenue from Contracts with Customers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Satisfaction of Performance Obligation</w:t>
      </w:r>
    </w:p>
    <w:p>
      <w:pPr>
        <w:spacing w:after="0" w:line="212"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The vast majority of the Company’s revenue is derived from agreements with customers based on the customer placing an order for products. Pricing for the most part is determined when the Company and the customer agree upon the specific order, which establishes the contract for that order.</w:t>
      </w:r>
    </w:p>
    <w:p>
      <w:pPr>
        <w:spacing w:after="0" w:line="177"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Revenues are recognized in an amount that reflects the net consideration we expect to receive in exchange for the goods. Our shell eggs are sold at prices related to independently quoted wholesale market prices or formulas related to our costs of production. The Company’s sales predominantly contain a single performance obligation. We recognize revenue upon satisfaction of the performance obligation with the customer which typically occurs within days of the Company and the customer agreeing upon the order.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Returns and Refunds</w:t>
      </w:r>
    </w:p>
    <w:p>
      <w:pPr>
        <w:spacing w:after="0" w:line="212" w:lineRule="exact"/>
        <w:rPr>
          <w:sz w:val="20"/>
          <w:szCs w:val="20"/>
          <w:color w:val="auto"/>
        </w:rPr>
      </w:pPr>
    </w:p>
    <w:p>
      <w:pPr>
        <w:jc w:val="both"/>
        <w:ind w:right="40"/>
        <w:spacing w:after="0" w:line="254" w:lineRule="auto"/>
        <w:rPr>
          <w:sz w:val="20"/>
          <w:szCs w:val="20"/>
          <w:color w:val="auto"/>
        </w:rPr>
      </w:pPr>
      <w:r>
        <w:rPr>
          <w:rFonts w:ascii="Arial" w:cs="Arial" w:eastAsia="Arial" w:hAnsi="Arial"/>
          <w:sz w:val="18"/>
          <w:szCs w:val="18"/>
          <w:color w:val="auto"/>
        </w:rPr>
        <w:t>Some of our contracts include a guaranteed sale clause, pursuant to which we credit the customer’s account for product that the customer is unable to sell before expiration. The Company records an allowance for returns and refunds by using historical return data and comparing to current period sales and accounts receivable. The allowance is recorded as a reduction in sales with a corresponding reduction in trade accounts receivable.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Incentives Provided to Customers</w:t>
      </w:r>
    </w:p>
    <w:p>
      <w:pPr>
        <w:spacing w:after="0" w:line="212" w:lineRule="exact"/>
        <w:rPr>
          <w:sz w:val="20"/>
          <w:szCs w:val="20"/>
          <w:color w:val="auto"/>
        </w:rPr>
      </w:pPr>
    </w:p>
    <w:p>
      <w:pPr>
        <w:jc w:val="both"/>
        <w:ind w:right="20"/>
        <w:spacing w:after="0" w:line="249" w:lineRule="auto"/>
        <w:rPr>
          <w:sz w:val="20"/>
          <w:szCs w:val="20"/>
          <w:color w:val="auto"/>
        </w:rPr>
      </w:pPr>
      <w:r>
        <w:rPr>
          <w:rFonts w:ascii="Arial" w:cs="Arial" w:eastAsia="Arial" w:hAnsi="Arial"/>
          <w:sz w:val="18"/>
          <w:szCs w:val="18"/>
          <w:color w:val="auto"/>
        </w:rPr>
        <w:t>The Company periodically provides incentive offers to its customers to encourage purchases. Such offers include current discount offers (e.g., percentage discounts off current purchases), inducement offers (e.g., offers for future discounts subject to a minimum current purchase), and other similar offers. Current discount offers, when accepted by customers, are treated as a reduction to the sales price of the related transaction, while inducement offers, when accepted by customers, are treated as a reduction to the sales price based on estimated future redemption rates. Redemption rates are estimated using the Company’s historical experience for similar inducement offers. Current discount and inducement offers are presented as a net amount in ‘‘Net sales.’’</w:t>
      </w:r>
    </w:p>
    <w:p>
      <w:pPr>
        <w:sectPr>
          <w:pgSz w:w="11900" w:h="16838" w:orient="portrait"/>
          <w:cols w:equalWidth="0" w:num="1">
            <w:col w:w="9280"/>
          </w:cols>
          <w:pgMar w:left="1320" w:top="315"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9280"/>
          </w:cols>
          <w:pgMar w:left="1320" w:top="315" w:right="1299" w:bottom="1440" w:gutter="0" w:footer="0" w:header="0"/>
          <w:type w:val="continuous"/>
        </w:sectPr>
      </w:pPr>
    </w:p>
    <w:bookmarkStart w:id="13" w:name="page14"/>
    <w:bookmarkEnd w:id="13"/>
    <w:p>
      <w:pPr>
        <w:jc w:val="center"/>
        <w:spacing w:after="0"/>
        <w:rPr>
          <w:sz w:val="20"/>
          <w:szCs w:val="20"/>
          <w:color w:val="auto"/>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revenue disaggregated by product category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4"/>
          </w:tcPr>
          <w:p>
            <w:pPr>
              <w:ind w:left="580"/>
              <w:spacing w:after="0"/>
              <w:rPr>
                <w:sz w:val="20"/>
                <w:szCs w:val="20"/>
                <w:color w:val="auto"/>
              </w:rPr>
            </w:pPr>
            <w:r>
              <w:rPr>
                <w:rFonts w:ascii="Arial" w:cs="Arial" w:eastAsia="Arial" w:hAnsi="Arial"/>
                <w:sz w:val="18"/>
                <w:szCs w:val="18"/>
                <w:color w:val="auto"/>
                <w:w w:val="90"/>
              </w:rPr>
              <w:t>Thirteen Weeks Ended</w:t>
            </w:r>
          </w:p>
        </w:tc>
        <w:tc>
          <w:tcPr>
            <w:tcW w:w="7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5"/>
          </w:tcPr>
          <w:p>
            <w:pPr>
              <w:jc w:val="right"/>
              <w:ind w:right="550"/>
              <w:spacing w:after="0"/>
              <w:rPr>
                <w:sz w:val="20"/>
                <w:szCs w:val="20"/>
                <w:color w:val="auto"/>
              </w:rPr>
            </w:pPr>
            <w:r>
              <w:rPr>
                <w:rFonts w:ascii="Arial" w:cs="Arial" w:eastAsia="Arial" w:hAnsi="Arial"/>
                <w:sz w:val="18"/>
                <w:szCs w:val="18"/>
                <w:color w:val="auto"/>
              </w:rPr>
              <w:t>Twenty-six Weeks Ended</w:t>
            </w:r>
          </w:p>
        </w:tc>
      </w:tr>
      <w:tr>
        <w:trPr>
          <w:trHeight w:val="210"/>
        </w:trPr>
        <w:tc>
          <w:tcPr>
            <w:tcW w:w="29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w w:val="92"/>
              </w:rPr>
              <w:t>November 26, 2022</w:t>
            </w: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w w:val="92"/>
              </w:rPr>
              <w:t>November 27, 2021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4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w w:val="92"/>
              </w:rPr>
              <w:t>November 26, 2022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4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w w:val="92"/>
              </w:rPr>
              <w:t>November 27, 2021</w:t>
            </w:r>
          </w:p>
        </w:tc>
      </w:tr>
      <w:tr>
        <w:trPr>
          <w:trHeight w:val="223"/>
        </w:trPr>
        <w:tc>
          <w:tcPr>
            <w:tcW w:w="2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Conventional shell egg sales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shd w:val="clear" w:color="auto" w:fill="CCEEFF"/>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541,917</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9"/>
              </w:rPr>
              <w:t>221,142</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967,506</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70" w:type="dxa"/>
            <w:vAlign w:val="bottom"/>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w:t>
            </w:r>
          </w:p>
        </w:tc>
        <w:tc>
          <w:tcPr>
            <w:tcW w:w="137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403,172</w:t>
            </w:r>
          </w:p>
        </w:tc>
      </w:tr>
      <w:tr>
        <w:trPr>
          <w:trHeight w:val="230"/>
        </w:trPr>
        <w:tc>
          <w:tcPr>
            <w:tcW w:w="2960" w:type="dxa"/>
            <w:vAlign w:val="bottom"/>
            <w:gridSpan w:val="2"/>
          </w:tcPr>
          <w:p>
            <w:pPr>
              <w:ind w:left="40"/>
              <w:spacing w:after="0"/>
              <w:rPr>
                <w:sz w:val="20"/>
                <w:szCs w:val="20"/>
                <w:color w:val="auto"/>
              </w:rPr>
            </w:pPr>
            <w:r>
              <w:rPr>
                <w:rFonts w:ascii="Arial" w:cs="Arial" w:eastAsia="Arial" w:hAnsi="Arial"/>
                <w:sz w:val="18"/>
                <w:szCs w:val="18"/>
                <w:color w:val="auto"/>
              </w:rPr>
              <w:t>Specialty shell egg sales</w:t>
            </w:r>
          </w:p>
        </w:tc>
        <w:tc>
          <w:tcPr>
            <w:tcW w:w="160" w:type="dxa"/>
            <w:vAlign w:val="bottom"/>
          </w:tcPr>
          <w:p>
            <w:pPr>
              <w:spacing w:after="0"/>
              <w:rPr>
                <w:sz w:val="19"/>
                <w:szCs w:val="19"/>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227,778</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w w:val="89"/>
              </w:rPr>
              <w:t>146,917</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428,598</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0" w:type="dxa"/>
            <w:vAlign w:val="bottom"/>
          </w:tcPr>
          <w:p>
            <w:pPr>
              <w:spacing w:after="0"/>
              <w:rPr>
                <w:sz w:val="19"/>
                <w:szCs w:val="19"/>
                <w:color w:val="auto"/>
              </w:rPr>
            </w:pPr>
          </w:p>
        </w:tc>
        <w:tc>
          <w:tcPr>
            <w:tcW w:w="1370" w:type="dxa"/>
            <w:vAlign w:val="bottom"/>
          </w:tcPr>
          <w:p>
            <w:pPr>
              <w:jc w:val="right"/>
              <w:ind w:right="10"/>
              <w:spacing w:after="0"/>
              <w:rPr>
                <w:sz w:val="20"/>
                <w:szCs w:val="20"/>
                <w:color w:val="auto"/>
              </w:rPr>
            </w:pPr>
            <w:r>
              <w:rPr>
                <w:rFonts w:ascii="Arial" w:cs="Arial" w:eastAsia="Arial" w:hAnsi="Arial"/>
                <w:sz w:val="18"/>
                <w:szCs w:val="18"/>
                <w:color w:val="auto"/>
              </w:rPr>
              <w:t>279,375</w:t>
            </w:r>
          </w:p>
        </w:tc>
      </w:tr>
      <w:tr>
        <w:trPr>
          <w:trHeight w:val="229"/>
        </w:trPr>
        <w:tc>
          <w:tcPr>
            <w:tcW w:w="2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Egg products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28,052</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11,401</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55,692</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70" w:type="dxa"/>
            <w:vAlign w:val="bottom"/>
            <w:shd w:val="clear" w:color="auto" w:fill="CCEEFF"/>
          </w:tcPr>
          <w:p>
            <w:pPr>
              <w:spacing w:after="0"/>
              <w:rPr>
                <w:sz w:val="19"/>
                <w:szCs w:val="19"/>
                <w:color w:val="auto"/>
              </w:rPr>
            </w:pPr>
          </w:p>
        </w:tc>
        <w:tc>
          <w:tcPr>
            <w:tcW w:w="137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20,767</w:t>
            </w:r>
          </w:p>
        </w:tc>
      </w:tr>
      <w:tr>
        <w:trPr>
          <w:trHeight w:val="216"/>
        </w:trPr>
        <w:tc>
          <w:tcPr>
            <w:tcW w:w="296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3,953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2,263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8,248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0" w:type="dxa"/>
            <w:vAlign w:val="bottom"/>
            <w:tcBorders>
              <w:bottom w:val="single" w:sz="8" w:color="auto"/>
            </w:tcBorders>
          </w:tcPr>
          <w:p>
            <w:pPr>
              <w:spacing w:after="0"/>
              <w:rPr>
                <w:sz w:val="18"/>
                <w:szCs w:val="18"/>
                <w:color w:val="auto"/>
              </w:rPr>
            </w:pPr>
          </w:p>
        </w:tc>
        <w:tc>
          <w:tcPr>
            <w:tcW w:w="137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3,395</w:t>
            </w:r>
          </w:p>
        </w:tc>
      </w:tr>
      <w:tr>
        <w:trPr>
          <w:trHeight w:val="20"/>
        </w:trPr>
        <w:tc>
          <w:tcPr>
            <w:tcW w:w="2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 w:type="dxa"/>
            <w:vAlign w:val="bottom"/>
          </w:tcPr>
          <w:p>
            <w:pPr>
              <w:spacing w:after="0" w:line="20" w:lineRule="exact"/>
              <w:rPr>
                <w:sz w:val="1"/>
                <w:szCs w:val="1"/>
                <w:color w:val="auto"/>
              </w:rPr>
            </w:pPr>
          </w:p>
        </w:tc>
        <w:tc>
          <w:tcPr>
            <w:tcW w:w="1370" w:type="dxa"/>
            <w:vAlign w:val="bottom"/>
          </w:tcPr>
          <w:p>
            <w:pPr>
              <w:spacing w:after="0" w:line="20" w:lineRule="exact"/>
              <w:rPr>
                <w:sz w:val="1"/>
                <w:szCs w:val="1"/>
                <w:color w:val="auto"/>
              </w:rPr>
            </w:pPr>
          </w:p>
        </w:tc>
      </w:tr>
      <w:tr>
        <w:trPr>
          <w:trHeight w:val="217"/>
        </w:trPr>
        <w:tc>
          <w:tcPr>
            <w:tcW w:w="29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9"/>
                <w:shd w:val="clear" w:color="auto" w:fill="CCEEFF"/>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801,700</w:t>
            </w:r>
          </w:p>
        </w:tc>
        <w:tc>
          <w:tcPr>
            <w:tcW w:w="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381,723</w:t>
            </w:r>
          </w:p>
        </w:tc>
        <w:tc>
          <w:tcPr>
            <w:tcW w:w="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1,460,044</w:t>
            </w:r>
          </w:p>
        </w:tc>
        <w:tc>
          <w:tcPr>
            <w:tcW w:w="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7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w:t>
            </w:r>
          </w:p>
        </w:tc>
        <w:tc>
          <w:tcPr>
            <w:tcW w:w="137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706,709</w:t>
            </w:r>
          </w:p>
        </w:tc>
      </w:tr>
      <w:tr>
        <w:trPr>
          <w:trHeight w:val="20"/>
        </w:trPr>
        <w:tc>
          <w:tcPr>
            <w:tcW w:w="29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70" w:type="dxa"/>
            <w:vAlign w:val="bottom"/>
            <w:tcBorders>
              <w:bottom w:val="single" w:sz="8" w:color="auto"/>
            </w:tcBorders>
          </w:tcPr>
          <w:p>
            <w:pPr>
              <w:spacing w:after="0" w:line="20" w:lineRule="exact"/>
              <w:rPr>
                <w:sz w:val="1"/>
                <w:szCs w:val="1"/>
                <w:color w:val="auto"/>
              </w:rPr>
            </w:pPr>
          </w:p>
        </w:tc>
        <w:tc>
          <w:tcPr>
            <w:tcW w:w="137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Costs</w:t>
      </w:r>
    </w:p>
    <w:p>
      <w:pPr>
        <w:spacing w:after="0" w:line="212"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The Company can incur costs to obtain or fulfill a contract with a customer. If the amortization period of these costs is less than one year, they are expensed as incurred. When the amortization period is greater than one year, a contract asset is recognized and is amortized over the contract life as a reduction in net sales. As of November 26, 2022 and May 28, 2022, the balance for contract assets was immaterial.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The Company receives payment from customers based on specified terms that are generally less than 30 days from delivery.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 are rarely contract assets or liabilities related to performance under the contract.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Stock Based Compensation</w:t>
      </w:r>
    </w:p>
    <w:p>
      <w:pPr>
        <w:spacing w:after="0" w:line="229"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color w:val="auto"/>
        </w:rPr>
        <w:t>Total stock-based compensation expense was $2.0 million for the twenty-six weeks ended November 26, 2022 and November 27, 2021.</w:t>
      </w:r>
    </w:p>
    <w:p>
      <w:pPr>
        <w:spacing w:after="0" w:line="15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Unrecognized compensation expense as a result of non-vested shares of restricted stock outstanding under the Amended and Restated 2012 Omnibus Long-Term Incentive Plan at November 26, 2022 of $4.9 million will be recorded over a weighted average period of 1.8 years. Refer to Part II Item 8, Notes to Consolidated Financial Statements and Supplementary Data, Note</w:t>
      </w:r>
    </w:p>
    <w:p>
      <w:pPr>
        <w:spacing w:after="0" w:line="2" w:lineRule="exact"/>
        <w:rPr>
          <w:sz w:val="20"/>
          <w:szCs w:val="20"/>
          <w:color w:val="auto"/>
        </w:rPr>
      </w:pPr>
    </w:p>
    <w:p>
      <w:pPr>
        <w:ind w:right="940" w:firstLine="7"/>
        <w:spacing w:after="0" w:line="572" w:lineRule="auto"/>
        <w:tabs>
          <w:tab w:leader="none" w:pos="274" w:val="left"/>
        </w:tabs>
        <w:numPr>
          <w:ilvl w:val="0"/>
          <w:numId w:val="4"/>
        </w:numPr>
        <w:rPr>
          <w:rFonts w:ascii="Arial" w:cs="Arial" w:eastAsia="Arial" w:hAnsi="Arial"/>
          <w:sz w:val="17"/>
          <w:szCs w:val="17"/>
          <w:color w:val="auto"/>
        </w:rPr>
      </w:pPr>
      <w:r>
        <w:rPr>
          <w:rFonts w:ascii="Arial" w:cs="Arial" w:eastAsia="Arial" w:hAnsi="Arial"/>
          <w:sz w:val="17"/>
          <w:szCs w:val="17"/>
          <w:color w:val="auto"/>
        </w:rPr>
        <w:t>Stock Compensation Plans in our 2022 Annual Report for further information on our stock compensation plans. The Company’s restricted share activity for the twenty-six weeks ended November 26, 2022 follows: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210"/>
              <w:spacing w:after="0"/>
              <w:rPr>
                <w:sz w:val="20"/>
                <w:szCs w:val="20"/>
                <w:color w:val="auto"/>
              </w:rPr>
            </w:pPr>
            <w:r>
              <w:rPr>
                <w:rFonts w:ascii="Arial" w:cs="Arial" w:eastAsia="Arial" w:hAnsi="Arial"/>
                <w:sz w:val="18"/>
                <w:szCs w:val="18"/>
                <w:b w:val="1"/>
                <w:bCs w:val="1"/>
                <w:color w:val="auto"/>
                <w:w w:val="98"/>
              </w:rPr>
              <w:t>Weighted</w:t>
            </w:r>
          </w:p>
        </w:tc>
      </w:tr>
      <w:tr>
        <w:trPr>
          <w:trHeight w:val="216"/>
        </w:trPr>
        <w:tc>
          <w:tcPr>
            <w:tcW w:w="6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91"/>
              </w:rPr>
              <w:t>Number of</w:t>
            </w:r>
          </w:p>
        </w:tc>
        <w:tc>
          <w:tcPr>
            <w:tcW w:w="12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1"/>
              </w:rPr>
              <w:t>Average Grant</w:t>
            </w:r>
          </w:p>
        </w:tc>
      </w:tr>
      <w:tr>
        <w:trPr>
          <w:trHeight w:val="220"/>
        </w:trPr>
        <w:tc>
          <w:tcPr>
            <w:tcW w:w="6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40" w:type="dxa"/>
            <w:vAlign w:val="bottom"/>
            <w:gridSpan w:val="4"/>
          </w:tcPr>
          <w:p>
            <w:pPr>
              <w:jc w:val="center"/>
              <w:ind w:right="180"/>
              <w:spacing w:after="0"/>
              <w:rPr>
                <w:sz w:val="20"/>
                <w:szCs w:val="20"/>
                <w:color w:val="auto"/>
              </w:rPr>
            </w:pPr>
            <w:r>
              <w:rPr>
                <w:rFonts w:ascii="Arial" w:cs="Arial" w:eastAsia="Arial" w:hAnsi="Arial"/>
                <w:sz w:val="18"/>
                <w:szCs w:val="18"/>
                <w:b w:val="1"/>
                <w:bCs w:val="1"/>
                <w:color w:val="auto"/>
                <w:w w:val="86"/>
              </w:rPr>
              <w:t>Shares</w:t>
            </w:r>
          </w:p>
        </w:tc>
        <w:tc>
          <w:tcPr>
            <w:tcW w:w="1260" w:type="dxa"/>
            <w:vAlign w:val="bottom"/>
            <w:gridSpan w:val="2"/>
          </w:tcPr>
          <w:p>
            <w:pPr>
              <w:spacing w:after="0"/>
              <w:rPr>
                <w:sz w:val="20"/>
                <w:szCs w:val="20"/>
                <w:color w:val="auto"/>
              </w:rPr>
            </w:pPr>
            <w:r>
              <w:rPr>
                <w:rFonts w:ascii="Arial" w:cs="Arial" w:eastAsia="Arial" w:hAnsi="Arial"/>
                <w:sz w:val="18"/>
                <w:szCs w:val="18"/>
                <w:b w:val="1"/>
                <w:bCs w:val="1"/>
                <w:color w:val="auto"/>
                <w:w w:val="95"/>
              </w:rPr>
              <w:t>Date Fair Value</w:t>
            </w:r>
          </w:p>
        </w:tc>
      </w:tr>
      <w:tr>
        <w:trPr>
          <w:trHeight w:val="223"/>
        </w:trPr>
        <w:tc>
          <w:tcPr>
            <w:tcW w:w="66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May 28, 2022</w:t>
            </w:r>
          </w:p>
        </w:tc>
        <w:tc>
          <w:tcPr>
            <w:tcW w:w="4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317,844</w:t>
            </w:r>
          </w:p>
        </w:tc>
        <w:tc>
          <w:tcPr>
            <w:tcW w:w="1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w:t>
            </w:r>
          </w:p>
        </w:tc>
        <w:tc>
          <w:tcPr>
            <w:tcW w:w="11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39.12</w:t>
            </w:r>
          </w:p>
        </w:tc>
      </w:tr>
      <w:tr>
        <w:trPr>
          <w:trHeight w:val="243"/>
        </w:trPr>
        <w:tc>
          <w:tcPr>
            <w:tcW w:w="6600" w:type="dxa"/>
            <w:vAlign w:val="bottom"/>
          </w:tcPr>
          <w:p>
            <w:pPr>
              <w:ind w:left="40"/>
              <w:spacing w:after="0"/>
              <w:rPr>
                <w:sz w:val="20"/>
                <w:szCs w:val="20"/>
                <w:color w:val="auto"/>
              </w:rPr>
            </w:pPr>
            <w:r>
              <w:rPr>
                <w:rFonts w:ascii="Arial" w:cs="Arial" w:eastAsia="Arial" w:hAnsi="Arial"/>
                <w:sz w:val="18"/>
                <w:szCs w:val="18"/>
                <w:color w:val="auto"/>
              </w:rPr>
              <w:t>Vested</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(3,240)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38.31</w:t>
            </w:r>
          </w:p>
        </w:tc>
      </w:tr>
      <w:tr>
        <w:trPr>
          <w:trHeight w:val="230"/>
        </w:trPr>
        <w:tc>
          <w:tcPr>
            <w:tcW w:w="6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(4,200)</w:t>
            </w:r>
          </w:p>
        </w:tc>
        <w:tc>
          <w:tcPr>
            <w:tcW w:w="1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39.44</w:t>
            </w:r>
          </w:p>
        </w:tc>
      </w:tr>
      <w:tr>
        <w:trPr>
          <w:trHeight w:val="250"/>
        </w:trPr>
        <w:tc>
          <w:tcPr>
            <w:tcW w:w="6600" w:type="dxa"/>
            <w:vAlign w:val="bottom"/>
          </w:tcPr>
          <w:p>
            <w:pPr>
              <w:ind w:left="40"/>
              <w:spacing w:after="0"/>
              <w:rPr>
                <w:sz w:val="20"/>
                <w:szCs w:val="20"/>
                <w:color w:val="auto"/>
              </w:rPr>
            </w:pPr>
            <w:r>
              <w:rPr>
                <w:rFonts w:ascii="Arial" w:cs="Arial" w:eastAsia="Arial" w:hAnsi="Arial"/>
                <w:sz w:val="18"/>
                <w:szCs w:val="18"/>
                <w:color w:val="auto"/>
              </w:rPr>
              <w:t>Outstanding, November 26, 2022</w:t>
            </w:r>
          </w:p>
        </w:tc>
        <w:tc>
          <w:tcPr>
            <w:tcW w:w="1200" w:type="dxa"/>
            <w:vAlign w:val="bottom"/>
            <w:gridSpan w:val="2"/>
          </w:tcPr>
          <w:p>
            <w:pPr>
              <w:jc w:val="right"/>
              <w:ind w:right="10"/>
              <w:spacing w:after="0"/>
              <w:rPr>
                <w:sz w:val="20"/>
                <w:szCs w:val="20"/>
                <w:color w:val="auto"/>
              </w:rPr>
            </w:pPr>
            <w:r>
              <w:rPr>
                <w:rFonts w:ascii="Arial" w:cs="Arial" w:eastAsia="Arial" w:hAnsi="Arial"/>
                <w:sz w:val="18"/>
                <w:szCs w:val="18"/>
                <w:color w:val="auto"/>
              </w:rPr>
              <w:t>310,404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39.12</w:t>
            </w:r>
          </w:p>
        </w:tc>
      </w:tr>
      <w:tr>
        <w:trPr>
          <w:trHeight w:val="20"/>
        </w:trPr>
        <w:tc>
          <w:tcPr>
            <w:tcW w:w="6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w:t>
      </w:r>
    </w:p>
    <w:p>
      <w:pPr>
        <w:spacing w:after="0" w:line="21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Company maintained standby letters of credit (“LOCs”) totaling $4.1 million at November 26, 2022, which were issued under the Company's senior secured revolving credit facility. The outstanding LOCs are for the benefit of certain insurance companies and are not recorded as a liability on the consolidated balance sheets.</w:t>
      </w:r>
    </w:p>
    <w:p>
      <w:pPr>
        <w:sectPr>
          <w:pgSz w:w="11900" w:h="16838" w:orient="portrait"/>
          <w:cols w:equalWidth="0" w:num="1">
            <w:col w:w="9260"/>
          </w:cols>
          <w:pgMar w:left="1320" w:top="315"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9260"/>
          </w:cols>
          <w:pgMar w:left="1320" w:top="315" w:right="1319" w:bottom="1440" w:gutter="0" w:footer="0" w:header="0"/>
          <w:type w:val="continuous"/>
        </w:sectPr>
      </w:pPr>
    </w:p>
    <w:bookmarkStart w:id="14" w:name="page15"/>
    <w:bookmarkEnd w:id="14"/>
    <w:p>
      <w:pPr>
        <w:jc w:val="center"/>
        <w:ind w:right="80"/>
        <w:spacing w:after="0"/>
        <w:rPr>
          <w:sz w:val="20"/>
          <w:szCs w:val="20"/>
          <w:color w:val="auto"/>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LEGAL PROCEEDINGS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State of Texas v. Cal-Maine Foods, Inc. d/b/a Wharton; and Wharton County Foods, LLC</w:t>
      </w:r>
    </w:p>
    <w:p>
      <w:pPr>
        <w:spacing w:after="0" w:line="202" w:lineRule="exact"/>
        <w:rPr>
          <w:sz w:val="20"/>
          <w:szCs w:val="20"/>
          <w:color w:val="auto"/>
        </w:rPr>
      </w:pPr>
    </w:p>
    <w:p>
      <w:pPr>
        <w:ind w:right="40"/>
        <w:spacing w:after="0" w:line="274" w:lineRule="auto"/>
        <w:rPr>
          <w:sz w:val="20"/>
          <w:szCs w:val="20"/>
          <w:color w:val="auto"/>
        </w:rPr>
      </w:pPr>
      <w:r>
        <w:rPr>
          <w:rFonts w:ascii="Arial" w:cs="Arial" w:eastAsia="Arial" w:hAnsi="Arial"/>
          <w:sz w:val="16"/>
          <w:szCs w:val="16"/>
          <w:color w:val="auto"/>
        </w:rPr>
        <w:t>On April 23, 2020, the Company and its subsidiary Wharton County Foods, LLC (“WCF”) were named as defendants in State of Texas v. Cal-Maine Foods, Inc. d/b/a Wharton; and Wharton County Foods, LLC, Cause No. 2020-25427, in the District Court of Harris County, Texas. The State of Texas (the “State”) asserted claims based on the Company’s and WCF’s alleged violation of the Texas Deceptive Trade Practices—Consumer Protection Act, Tex. Bus. &amp; Com. Code §§ 17.41-17.63 (“DTPA”). The State claimed that the Company and WCF offered shell eggs at excessive or exorbitant prices during the COVID-19 state of emergency and made misleading statements about shell egg prices. The State sought temporary and permanent injunctions against the Company and WCF to prevent further alleged violations of the DTPA, along with over $100,000 in damages. On August 13, 2020, the court granted the defendants’ motion to dismiss the State’s original petition with prejudice. On September 11, 2020, the State filed a notice of appeal, which was assigned to the Texas Court of Appeals for the First District. On August 16, 2022, the appeals court reversed and remanded the case back to the trial court for further proceedings. On October 31, 2022, the Company and WCF filed a petition for review to the Supreme Court of Texas appealing the First District court’s decision. On November 30, 2022, the State of Texas waived its response to defendant’s petition for review. The court has not issued a ruling. Management believes the risk of material loss related to this matter to be remote.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Bell et al. v. Cal-Maine Foods et al.</w:t>
      </w:r>
    </w:p>
    <w:p>
      <w:pPr>
        <w:spacing w:after="0" w:line="216"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On April 30, 2020, the Company was named as one of several defendants in Bell et al. v. Cal-Maine Foods et al., Case No. 1:20-cv-461, in the Western District of Texas, Austin Division. The defendants include numerous grocery stores, retailers, producers, and farms. Plaintiffs assert that defendants violated the DTPA by allegedly demanding exorbitant or excessive prices for eggs during the COVID-19 state of emergency. Plaintiffs request certification of a class of all consumers who purchased eggs in Texas sold, distributed, produced, or handled by any of the defendants during the COVID-19 state of emergency. Plaintiffs seek to enjoin the Company and other defendants from selling eggs at a price more than 10% greater than the price of eggs prior to the declaration of the state of emergency and damages in the amount of $10,000 per violation, or $250,000 for each violation impacting anyone over 65 years old. On December 1, 2020, the Company and certain other defendants filed a motion to dismiss the plaintiffs’ amended class action complaint. The plaintiffs subsequently filed a motion to strike, and the motion to dismiss and related proceedings were referred to a United States magistrate judge. On July 14, 2021, the magistrate judge issued a report and recommendation to the court that the defendants’ motion to dismiss be granted and the case be dismissed without prejudice for lack of subject matter jurisdiction. On September 20, 2021, the court dismissed the case without prejudice. On July 13, 2022, the court denied the plaintiffs’ motion to set aside or amend the judgment to amend their complaint.</w:t>
      </w:r>
    </w:p>
    <w:p>
      <w:pPr>
        <w:spacing w:after="0" w:line="186" w:lineRule="exact"/>
        <w:rPr>
          <w:sz w:val="20"/>
          <w:szCs w:val="20"/>
          <w:color w:val="auto"/>
        </w:rPr>
      </w:pPr>
    </w:p>
    <w:p>
      <w:pPr>
        <w:jc w:val="both"/>
        <w:ind w:right="60"/>
        <w:spacing w:after="0" w:line="242" w:lineRule="auto"/>
        <w:rPr>
          <w:sz w:val="20"/>
          <w:szCs w:val="20"/>
          <w:color w:val="auto"/>
        </w:rPr>
      </w:pPr>
      <w:r>
        <w:rPr>
          <w:rFonts w:ascii="Arial" w:cs="Arial" w:eastAsia="Arial" w:hAnsi="Arial"/>
          <w:sz w:val="18"/>
          <w:szCs w:val="18"/>
          <w:color w:val="auto"/>
        </w:rPr>
        <w:t>On March 15, 2022, plaintiffs filed a second suit against the Company and several defendants in Bell et al. v. Cal-Maine Foods et al., Case No. 1:22-cv-246, in the Western District of Texas, Austin Division alleging the same assertions as laid out in the first complaint. On August 12, 2022, the Company and other defendants in the case filed a motion to dismiss the plaintiffs’ class action complaint. On September 6, 2022, the plaintiffs’ filed their opposition to the motion to dismiss and the Company and other defendants filed their reply on September 13, 2022. On December 7, 2022, the magistrate judge issued a report and recommendation to the court that the defendants’ motion to dismiss be granted and the case be dismissed without prejudice for lack of subject matter jurisdiction. On December 21, 2022, the plaintiffs filed Objections to the Magistrate’s Report and Recommendation, but the court has not issued a ruling. Management believes the risk of material loss related to both matters to be remote.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Kraft Foods Global, Inc. et al. v. United Egg Producers, Inc. et al.</w:t>
      </w:r>
    </w:p>
    <w:p>
      <w:pPr>
        <w:spacing w:after="0" w:line="216" w:lineRule="exact"/>
        <w:rPr>
          <w:sz w:val="20"/>
          <w:szCs w:val="20"/>
          <w:color w:val="auto"/>
        </w:rPr>
      </w:pPr>
    </w:p>
    <w:p>
      <w:pPr>
        <w:jc w:val="both"/>
        <w:ind w:right="60"/>
        <w:spacing w:after="0" w:line="245" w:lineRule="auto"/>
        <w:rPr>
          <w:sz w:val="20"/>
          <w:szCs w:val="20"/>
          <w:color w:val="auto"/>
        </w:rPr>
      </w:pPr>
      <w:r>
        <w:rPr>
          <w:rFonts w:ascii="Arial" w:cs="Arial" w:eastAsia="Arial" w:hAnsi="Arial"/>
          <w:sz w:val="18"/>
          <w:szCs w:val="18"/>
          <w:color w:val="auto"/>
        </w:rPr>
        <w:t>As previously reported, on September 25, 2008, the Company was named as one of several defendants in numerous antitrust cases involving the United States shell egg industry. The Company settled all of these cases, except for the claims of certain plaintiffs who sought substantial damages allegedly arising from the purchase of egg products (as opposed to shell eggs). These remaining plaintiffs are Kraft Food Global, Inc., General Mills, Inc., and Nestle USA, Inc. (the “Egg Products Plaintiffs”) and The Kellogg Company.</w:t>
      </w:r>
    </w:p>
    <w:p>
      <w:pPr>
        <w:spacing w:after="0" w:line="186" w:lineRule="exact"/>
        <w:rPr>
          <w:sz w:val="20"/>
          <w:szCs w:val="20"/>
          <w:color w:val="auto"/>
        </w:rPr>
      </w:pPr>
    </w:p>
    <w:p>
      <w:pPr>
        <w:jc w:val="both"/>
        <w:ind w:right="80"/>
        <w:spacing w:after="0" w:line="277" w:lineRule="auto"/>
        <w:rPr>
          <w:sz w:val="20"/>
          <w:szCs w:val="20"/>
          <w:color w:val="auto"/>
        </w:rPr>
      </w:pPr>
      <w:r>
        <w:rPr>
          <w:rFonts w:ascii="Arial" w:cs="Arial" w:eastAsia="Arial" w:hAnsi="Arial"/>
          <w:sz w:val="16"/>
          <w:szCs w:val="16"/>
          <w:color w:val="auto"/>
        </w:rPr>
        <w:t>On September 13, 2019, the case with the Egg Products Plaintiffs was remanded from a multi-district litigation proceeding in the United States District Court for the Eastern District of Pennsylvania, In re Processed Egg Products Antitrust Litigation, MDL No. 2002, to the United States District Court for the Northern District of Illinois, Kraft Foods Global, Inc. et al. v. United Egg Producers, Inc. et al., Case No. 1:11-cv-8808, for trial. The Egg Products Plaintiffs allege that the Company and other defendants violated Section 1 of the Sherman Act, 15. U.S.C. § 1, by agreeing to limit the production of eggs and thereby illegally to raise the prices that plaintiffs paid for processed egg products. In particular, the Egg Products Plaintiffs are attacking certain features of the United Egg Producers animal-welfare guidelines and program used by the Company and many other egg producers. The Egg Products Plaintiffs seek to enjoin the Company and other defendants from engaging in antitrust violations</w:t>
      </w:r>
    </w:p>
    <w:p>
      <w:pPr>
        <w:sectPr>
          <w:pgSz w:w="11900" w:h="16838" w:orient="portrait"/>
          <w:cols w:equalWidth="0" w:num="1">
            <w:col w:w="9320"/>
          </w:cols>
          <w:pgMar w:left="1320" w:top="315" w:right="1259" w:bottom="1440" w:gutter="0" w:footer="0" w:header="0"/>
        </w:sectPr>
      </w:pPr>
    </w:p>
    <w:p>
      <w:pPr>
        <w:spacing w:after="0" w:line="353"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9320"/>
          </w:cols>
          <w:pgMar w:left="1320" w:top="315" w:right="1259" w:bottom="1440" w:gutter="0" w:footer="0" w:header="0"/>
          <w:type w:val="continuous"/>
        </w:sectPr>
      </w:pPr>
    </w:p>
    <w:bookmarkStart w:id="15" w:name="page16"/>
    <w:bookmarkEnd w:id="15"/>
    <w:p>
      <w:pPr>
        <w:jc w:val="center"/>
        <w:ind w:right="40"/>
        <w:spacing w:after="0"/>
        <w:rPr>
          <w:sz w:val="20"/>
          <w:szCs w:val="20"/>
          <w:color w:val="auto"/>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82" w:lineRule="exact"/>
        <w:rPr>
          <w:sz w:val="20"/>
          <w:szCs w:val="20"/>
          <w:color w:val="auto"/>
        </w:rPr>
      </w:pPr>
    </w:p>
    <w:p>
      <w:pPr>
        <w:jc w:val="both"/>
        <w:ind w:right="60"/>
        <w:spacing w:after="0" w:line="248" w:lineRule="auto"/>
        <w:rPr>
          <w:sz w:val="20"/>
          <w:szCs w:val="20"/>
          <w:color w:val="auto"/>
        </w:rPr>
      </w:pPr>
      <w:r>
        <w:rPr>
          <w:rFonts w:ascii="Arial" w:cs="Arial" w:eastAsia="Arial" w:hAnsi="Arial"/>
          <w:sz w:val="18"/>
          <w:szCs w:val="18"/>
          <w:color w:val="auto"/>
        </w:rPr>
        <w:t>and seek treble money damages. On May 2, 2022, the court set trial for October 24, 2022, but on September 20, 2022, the court cancelled the trial date due to COVID-19 protocols and converted the trial date to a status hearing to reschedule the jury trial. On December 8, 2022, the court held a status hearing. The parties subsequently submitted an updated proposed pre-trial schedule and the Court has set the trial for October 16, 2023.</w:t>
      </w:r>
    </w:p>
    <w:p>
      <w:pPr>
        <w:spacing w:after="0" w:line="184" w:lineRule="exact"/>
        <w:rPr>
          <w:sz w:val="20"/>
          <w:szCs w:val="20"/>
          <w:color w:val="auto"/>
        </w:rPr>
      </w:pPr>
    </w:p>
    <w:p>
      <w:pPr>
        <w:jc w:val="both"/>
        <w:ind w:right="60"/>
        <w:spacing w:after="0" w:line="248" w:lineRule="auto"/>
        <w:rPr>
          <w:sz w:val="20"/>
          <w:szCs w:val="20"/>
          <w:color w:val="auto"/>
        </w:rPr>
      </w:pPr>
      <w:r>
        <w:rPr>
          <w:rFonts w:ascii="Arial" w:cs="Arial" w:eastAsia="Arial" w:hAnsi="Arial"/>
          <w:sz w:val="18"/>
          <w:szCs w:val="18"/>
          <w:color w:val="auto"/>
        </w:rPr>
        <w:t>In addition, on October 24, 2019, the Company entered into a confidential settlement agreement with The Kellogg Company dismissing all claims against the Company for an amount that did not have a material impact on the Company’s financial condition or results of operations. On November 11, 2019, a stipulation for dismissal was filed with the court, and on March 28, 2022, the court dismissed the Company with prejudice.</w:t>
      </w:r>
    </w:p>
    <w:p>
      <w:pPr>
        <w:spacing w:after="0" w:line="170"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Company intends to continue to defend the remaining case with the Egg Products Plaintiffs as vigorously as possible based on defenses which the Company believes are meritorious and provable. Adjustments, if any, which might result from the resolution of this remaining matter with the Egg Products Plaintiffs have not been reflected in the financial statements. While management believes that there is still a reasonable possibility of a material adverse outcome from the case with the Egg Products Plaintiffs, at the present time, it is not possible to estimate the amount of monetary exposure, if any, to the Company due to a range of factors, including the following, among others: two earlier trials based on substantially the same facts and legal arguments resulted in findings of no conspiracy and/or damages; this trial will be before a different judge and jury in a different court than prior related cases; there are significant factual issues to be resolved; and there are requests for damages other than compensatory damages (i.e., injunction and treble money damages).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State of Oklahoma Watershed Pollution Litigation</w:t>
      </w:r>
    </w:p>
    <w:p>
      <w:pPr>
        <w:spacing w:after="0" w:line="202" w:lineRule="exact"/>
        <w:rPr>
          <w:sz w:val="20"/>
          <w:szCs w:val="20"/>
          <w:color w:val="auto"/>
        </w:rPr>
      </w:pPr>
    </w:p>
    <w:p>
      <w:pPr>
        <w:jc w:val="both"/>
        <w:ind w:right="20"/>
        <w:spacing w:after="0" w:line="258" w:lineRule="auto"/>
        <w:rPr>
          <w:sz w:val="20"/>
          <w:szCs w:val="20"/>
          <w:color w:val="auto"/>
        </w:rPr>
      </w:pPr>
      <w:r>
        <w:rPr>
          <w:rFonts w:ascii="Arial" w:cs="Arial" w:eastAsia="Arial" w:hAnsi="Arial"/>
          <w:sz w:val="17"/>
          <w:szCs w:val="17"/>
          <w:color w:val="auto"/>
        </w:rPr>
        <w:t>On June 18, 2005, the State of Oklahoma filed suit, in the United States District Court for the Northern District of Oklahoma, against Cal-Maine Foods, Inc. and Tyson Foods, Inc. and affiliates, Cobb-Vantress, Inc., Cargill, Inc. and its affiliate, George’s, Inc. and its affiliate, Peterson Farms, Inc. and Simmons Foods, Inc. The State of Oklahoma claims that through the disposal of chicken litter the defendants have polluted the Illinois River Watershed. This watershed provides water to eastern Oklahoma. The complaint seeks injunctive relief and monetary damages, but the claim for monetary damages has been dismissed by the court. Cal-Maine Foods, Inc. discontinued operations in the watershed. Accordingly, we do not anticipate that Cal-Maine Foods, Inc. will be materially affected by the request for injunctive relief unless the court orders substantial affirmative remediation. Since the litigation began, Cal-Maine Foods, Inc. purchased 100% of the membership interests of Benton County Foods, LLC, which is an ongoing commercial shell egg operation within the Illinois River Watershed. Benton County Foods, LLC is not a defendant in the litigation.</w:t>
      </w:r>
    </w:p>
    <w:p>
      <w:pPr>
        <w:spacing w:after="0" w:line="180" w:lineRule="exact"/>
        <w:rPr>
          <w:sz w:val="20"/>
          <w:szCs w:val="20"/>
          <w:color w:val="auto"/>
        </w:rPr>
      </w:pPr>
    </w:p>
    <w:p>
      <w:pPr>
        <w:jc w:val="both"/>
        <w:ind w:right="40"/>
        <w:spacing w:after="0" w:line="290" w:lineRule="auto"/>
        <w:rPr>
          <w:sz w:val="20"/>
          <w:szCs w:val="20"/>
          <w:color w:val="auto"/>
        </w:rPr>
      </w:pPr>
      <w:r>
        <w:rPr>
          <w:rFonts w:ascii="Arial" w:cs="Arial" w:eastAsia="Arial" w:hAnsi="Arial"/>
          <w:sz w:val="17"/>
          <w:szCs w:val="17"/>
          <w:color w:val="auto"/>
        </w:rPr>
        <w:t>The trial in the case began in September 2009 and concluded in February 2010. The case was tried without a jury, and the court has not yet issued its ruling. Management believes the risk of material loss related to this matter to be remote.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Matters</w:t>
      </w:r>
    </w:p>
    <w:p>
      <w:pPr>
        <w:spacing w:after="0" w:line="216" w:lineRule="exact"/>
        <w:rPr>
          <w:sz w:val="20"/>
          <w:szCs w:val="20"/>
          <w:color w:val="auto"/>
        </w:rPr>
      </w:pPr>
    </w:p>
    <w:p>
      <w:pPr>
        <w:jc w:val="both"/>
        <w:ind w:right="40"/>
        <w:spacing w:after="0" w:line="302" w:lineRule="auto"/>
        <w:rPr>
          <w:sz w:val="20"/>
          <w:szCs w:val="20"/>
          <w:color w:val="auto"/>
        </w:rPr>
      </w:pPr>
      <w:r>
        <w:rPr>
          <w:rFonts w:ascii="Arial" w:cs="Arial" w:eastAsia="Arial" w:hAnsi="Arial"/>
          <w:sz w:val="16"/>
          <w:szCs w:val="16"/>
          <w:color w:val="auto"/>
        </w:rPr>
        <w:t>In addition to the above, the Company is involved in various other claims and litigation incidental to its business. Although the outcome of these matters cannot be determined with certainty, management, upon the advice of counsel, is of the opinion that the final outcome should not have a material effect on the Company’s consolidated results of operations or financial position.</w:t>
      </w:r>
    </w:p>
    <w:p>
      <w:pPr>
        <w:sectPr>
          <w:pgSz w:w="11900" w:h="16838" w:orient="portrait"/>
          <w:cols w:equalWidth="0" w:num="1">
            <w:col w:w="9280"/>
          </w:cols>
          <w:pgMar w:left="1320" w:top="315"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9280"/>
          </w:cols>
          <w:pgMar w:left="1320" w:top="315" w:right="1299" w:bottom="1440" w:gutter="0" w:footer="0" w:header="0"/>
          <w:type w:val="continuous"/>
        </w:sectPr>
      </w:pPr>
    </w:p>
    <w:bookmarkStart w:id="16" w:name="page17"/>
    <w:bookmarkEnd w:id="16"/>
    <w:p>
      <w:pPr>
        <w:jc w:val="center"/>
        <w:ind w:right="60"/>
        <w:spacing w:after="0"/>
        <w:rPr>
          <w:sz w:val="20"/>
          <w:szCs w:val="20"/>
          <w:color w:val="auto"/>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78" w:lineRule="exact"/>
        <w:rPr>
          <w:sz w:val="20"/>
          <w:szCs w:val="20"/>
          <w:color w:val="auto"/>
        </w:rPr>
      </w:pPr>
    </w:p>
    <w:p>
      <w:pPr>
        <w:jc w:val="both"/>
        <w:ind w:right="40"/>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67" w:lineRule="exact"/>
        <w:rPr>
          <w:sz w:val="20"/>
          <w:szCs w:val="20"/>
          <w:color w:val="auto"/>
        </w:rPr>
      </w:pPr>
    </w:p>
    <w:p>
      <w:pPr>
        <w:jc w:val="both"/>
        <w:ind w:right="60"/>
        <w:spacing w:after="0" w:line="273" w:lineRule="auto"/>
        <w:rPr>
          <w:sz w:val="20"/>
          <w:szCs w:val="20"/>
          <w:color w:val="auto"/>
        </w:rPr>
      </w:pPr>
      <w:r>
        <w:rPr>
          <w:rFonts w:ascii="Arial" w:cs="Arial" w:eastAsia="Arial" w:hAnsi="Arial"/>
          <w:sz w:val="17"/>
          <w:szCs w:val="17"/>
          <w:color w:val="auto"/>
        </w:rPr>
        <w:t xml:space="preserve">The following should be read in conjunction with Management’s Discussion and Analysis of Financial Condition and Results of Operations included in Part II Item 7 of the Company’s Annual Report on Form 10-K for its fiscal year ended May 28, 2022 (the “2022 Annual Report”), and the accompanying financial statements and notes included in Part II Item 8 of the 2022 Annual Report and in </w:t>
      </w:r>
      <w:r>
        <w:rPr>
          <w:rFonts w:ascii="Arial" w:cs="Arial" w:eastAsia="Arial" w:hAnsi="Arial"/>
          <w:sz w:val="17"/>
          <w:szCs w:val="17"/>
          <w:u w:val="single" w:color="auto"/>
          <w:color w:val="0000FF"/>
        </w:rPr>
        <w:t>Part I Item 1</w:t>
      </w:r>
      <w:r>
        <w:rPr>
          <w:rFonts w:ascii="Arial" w:cs="Arial" w:eastAsia="Arial" w:hAnsi="Arial"/>
          <w:sz w:val="17"/>
          <w:szCs w:val="17"/>
          <w:color w:val="auto"/>
        </w:rPr>
        <w:t xml:space="preserve"> of this Quarterly Report on Form 10-Q (“Quarterly Report”).</w:t>
      </w:r>
    </w:p>
    <w:p>
      <w:pPr>
        <w:spacing w:after="0" w:line="177"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This report contains numerous forward-looking statements within the meaning of Section 27A of the Securities Act of 1933 (the “Securities Act”) and Section 21E of the Securities Exchange Act of 1934 (the “Exchange Act”) relating to our shell egg business, including estimated future production data, expected construction schedules, projected construction costs, potential future supply of and demand for our products, potential future corn and soybean price trends, potential future impact on our business of the COVID-19 pandemic, potential future impact on our business of new legislation, rules or policies, potential outcomes of legal proceedings, and other projected operating data, including anticipated results of operations and financial condition. Such forward-looking statements are identified by the use of words such as “believes,” “intends,” “expects,” “hopes,” “may,” “should,” “plans,” “projected,” “contemplates,” “anticipates,” or similar words. Actual outcomes or results could differ materially from those projected in the forward-looking statements. The forward-looking statements are based on management’s current intent, belief, expectations, estimates, and projections regarding the Company and its industry. These statements are not guarantees of future performance and involve risks, uncertainties, assumptions, and other factors that are difficult to predict and may be beyond our control. The factors that could cause actual results to differ materially from those projected in the forward-looking statements include, among others, (i) the risk factors set forth in Part I Item 1A of the 2022 Annual Report (ii) the risks and hazards inherent in the shell egg business (including disease, pests, weather conditions, and potential for product recall), including but not limited to the current outbreak of highly pathogenic avian influenza (“HPAI”) affecting poultry in the United States (“U.S.”), Canada and other countries that was first detected in commercial flocks in the U.S. in February 2022, (iii) changes in the demand for and market prices of shell eggs and feed costs, (iv) our ability to predict and meet demand for cage-free and other specialty eggs, (v) risks, changes, or obligations that could result from our future acquisition of new flocks or businesses and risks or changes that may cause conditions to completing a pending acquisition not to be met, (vi) risks relating to the evolving COVID-19 pandemic, including without limitation increased costs and rising inflation and interest rates, which generally have been exacerbated by Russia’s invasion of Ukraine starting February 2022, (vii) our ability to retain existing customers, acquire new customers and grow our product mix and (viii) adverse results in pending litigation matters. Readers are cautioned not to place undue reliance on forward-looking statements because, while we believe the assumptions on which the forward-looking statements are based are reasonable, there can be no assurance that these forward-looking statements will prove to be accurate. Further, forward-looking statements included herein are only made as of the respective dates thereof, or if no date is stated, as of the date hereof. Except as otherwise required by law, we disclaim any intent or obligation to update publicly these forward-looking statements, whether because of new information, future events, or otherwise.</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GENERAL</w:t>
      </w:r>
    </w:p>
    <w:p>
      <w:pPr>
        <w:spacing w:after="0" w:line="212" w:lineRule="exact"/>
        <w:rPr>
          <w:sz w:val="20"/>
          <w:szCs w:val="20"/>
          <w:color w:val="auto"/>
        </w:rPr>
      </w:pPr>
    </w:p>
    <w:p>
      <w:pPr>
        <w:jc w:val="both"/>
        <w:ind w:right="20"/>
        <w:spacing w:after="0" w:line="244" w:lineRule="auto"/>
        <w:rPr>
          <w:sz w:val="20"/>
          <w:szCs w:val="20"/>
          <w:color w:val="auto"/>
        </w:rPr>
      </w:pPr>
      <w:r>
        <w:rPr>
          <w:rFonts w:ascii="Arial" w:cs="Arial" w:eastAsia="Arial" w:hAnsi="Arial"/>
          <w:sz w:val="18"/>
          <w:szCs w:val="18"/>
          <w:color w:val="auto"/>
        </w:rPr>
        <w:t>Cal-Maine Foods, Inc. (the “Company,” “we,” “us,” “our”) is primarily engaged in the production, grading, packaging, marketing and distribution of fresh shell eggs. Our operations are fully integrated under one operating segment. We are the largest producer and distributor of fresh shell eggs in the U.S. Our total flock of approximately 43.7 million layers and 10.4 million pullets and breeders is the largest in the U.S. We sell most of our shell eggs to a diverse group of customers, including national and regional grocery store chains, club stores, companies servicing independent supermarkets in the U.S., food service distributors, and egg product consumers in states across the southwestern, southeastern, mid-western and mid-Atlantic regions of the U.S.</w:t>
      </w:r>
    </w:p>
    <w:p>
      <w:pPr>
        <w:spacing w:after="0" w:line="18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Our operating results are materially impacted by market prices for eggs and feed grains (corn and soybean meal), which are highly volatile, independent of each other, and out of our control. Generally, higher market prices for eggs have a positive impact on our financial results while higher market prices for feed grains have a negative impact on our financial results. Although we use a variety of pricing mechanisms in pricing agreements with our customers, we sell most of our conventional shell eggs based on formulas that consider, in varying ways, independently quoted regional wholesale market prices for shell eggs or formulas related to our costs of production which include the cost of corn and soybean meal.</w:t>
      </w:r>
    </w:p>
    <w:p>
      <w:pPr>
        <w:spacing w:after="0" w:line="179" w:lineRule="exact"/>
        <w:rPr>
          <w:sz w:val="20"/>
          <w:szCs w:val="20"/>
          <w:color w:val="auto"/>
        </w:rPr>
      </w:pPr>
    </w:p>
    <w:p>
      <w:pPr>
        <w:jc w:val="both"/>
        <w:ind w:right="20"/>
        <w:spacing w:after="0" w:line="292" w:lineRule="auto"/>
        <w:rPr>
          <w:sz w:val="20"/>
          <w:szCs w:val="20"/>
          <w:color w:val="auto"/>
        </w:rPr>
      </w:pPr>
      <w:r>
        <w:rPr>
          <w:rFonts w:ascii="Arial" w:cs="Arial" w:eastAsia="Arial" w:hAnsi="Arial"/>
          <w:sz w:val="16"/>
          <w:szCs w:val="16"/>
          <w:color w:val="auto"/>
        </w:rPr>
        <w:t>We routinely fill our storage bins during harvest season when prices for feed ingredients are generally lower. To ensure continued availability of feed ingredients, we may enter into contracts for future purchases of corn and soybean meal, and as part of these contracts, we may lock-in the basis portion of our grain purchases several months in advance. Basis is the difference between the local cash price for grain and the applicable futures price. A basis contract is a common transaction in the grain market that allows us to lock-in a basis level for a specific delivery period and wait to set the futures price at a later</w:t>
      </w:r>
    </w:p>
    <w:p>
      <w:pPr>
        <w:sectPr>
          <w:pgSz w:w="11900" w:h="16838" w:orient="portrait"/>
          <w:cols w:equalWidth="0" w:num="1">
            <w:col w:w="9300"/>
          </w:cols>
          <w:pgMar w:left="1320" w:top="315" w:right="127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9300"/>
          </w:cols>
          <w:pgMar w:left="1320" w:top="315" w:right="1279" w:bottom="1440" w:gutter="0" w:footer="0" w:header="0"/>
          <w:type w:val="continuous"/>
        </w:sectPr>
      </w:pPr>
    </w:p>
    <w:bookmarkStart w:id="17" w:name="page18"/>
    <w:bookmarkEnd w:id="17"/>
    <w:p>
      <w:pPr>
        <w:jc w:val="center"/>
        <w:ind w:right="60"/>
        <w:spacing w:after="0"/>
        <w:rPr>
          <w:sz w:val="20"/>
          <w:szCs w:val="20"/>
          <w:color w:val="auto"/>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82" w:lineRule="exact"/>
        <w:rPr>
          <w:sz w:val="20"/>
          <w:szCs w:val="20"/>
          <w:color w:val="auto"/>
        </w:rPr>
      </w:pPr>
    </w:p>
    <w:p>
      <w:pPr>
        <w:jc w:val="both"/>
        <w:ind w:right="80"/>
        <w:spacing w:after="0" w:line="296" w:lineRule="auto"/>
        <w:rPr>
          <w:sz w:val="20"/>
          <w:szCs w:val="20"/>
          <w:color w:val="auto"/>
        </w:rPr>
      </w:pPr>
      <w:r>
        <w:rPr>
          <w:rFonts w:ascii="Arial" w:cs="Arial" w:eastAsia="Arial" w:hAnsi="Arial"/>
          <w:sz w:val="16"/>
          <w:szCs w:val="16"/>
          <w:color w:val="auto"/>
        </w:rPr>
        <w:t>date. Furthermore, due to the more limited supply for organic ingredients, we may commit to purchase organic ingredients in advance to help ensure supply. Ordinarily, we do not enter into long-term contracts beyond a year to purchase corn and soybean meal or hedge against increases in the prices of corn and soybean meal. Corn and soybean meal are commodities and are subject to volatile price changes due to weather, various supply and demand factors, transportation and storage costs, speculators, agricultural, energy and trade policies in the U.S. and internationally and most recently the Russia-Ukraine war.</w:t>
      </w:r>
    </w:p>
    <w:p>
      <w:pPr>
        <w:spacing w:after="0" w:line="14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An important competitive advantage for Cal-Maine Foods is our ability to meet our customers’ evolving needs with a favorable product mix of conventional and specialty eggs, including cage-free, organic and other specialty offerings, as well as egg products. We have also enhanced our efforts to provide free-range and pasture-raised eggs that meet consumers’ evolving choice preferences. While a small part of our current business, the free-range and pasture-raised eggs we produce and sell represent attractive offerings to a subset of consumers, and therefore our customers, and help us continue to serve as the trusted provider of quality food choices.</w:t>
      </w:r>
    </w:p>
    <w:p>
      <w:pPr>
        <w:spacing w:after="0" w:line="181" w:lineRule="exact"/>
        <w:rPr>
          <w:sz w:val="20"/>
          <w:szCs w:val="20"/>
          <w:color w:val="auto"/>
        </w:rPr>
      </w:pPr>
    </w:p>
    <w:p>
      <w:pPr>
        <w:jc w:val="both"/>
        <w:ind w:right="20"/>
        <w:spacing w:after="0" w:line="268" w:lineRule="auto"/>
        <w:rPr>
          <w:sz w:val="20"/>
          <w:szCs w:val="20"/>
          <w:color w:val="auto"/>
        </w:rPr>
      </w:pPr>
      <w:r>
        <w:rPr>
          <w:rFonts w:ascii="Arial" w:cs="Arial" w:eastAsia="Arial" w:hAnsi="Arial"/>
          <w:sz w:val="17"/>
          <w:szCs w:val="17"/>
          <w:color w:val="auto"/>
        </w:rPr>
        <w:t>We are also focused on additional ways to enhance its product mix and support new opportunities in the restaurant, institutional and industrial food products arena. On October 4, 2021, Cal-Maine Foods announced a strategic investment of $18.5 million in debt and equity in Meadow Creek Foods, LLC (“MeadowCreek”), an egg products operation located in Neosho, Missouri, focused on offering hard-cooked eggs. Cal-Maine Foods serves as the preferred provider of specialty and conventional eggs for MeadowCreek to manufacture egg products. On December 13, 2022, our Board of Directors approved an additional $13.8 million investment to expand the Company’s controlling interest and fund additional equipment and working capital needs to support growth opportunities for MeadowCreek. As demand for hard-cooked eggs continues to grow, the funds will be used for additional refrigerated storage space and expanded capacity for cooking and packaging to better serve MeadowCreek’s customers. Due to delays caused by supply chain issues and plans for expansion, MeadowCreek is now expected to be fully operational by or before March 2023.</w:t>
      </w:r>
    </w:p>
    <w:p>
      <w:pPr>
        <w:spacing w:after="0" w:line="166" w:lineRule="exact"/>
        <w:rPr>
          <w:sz w:val="20"/>
          <w:szCs w:val="20"/>
          <w:color w:val="auto"/>
        </w:rPr>
      </w:pPr>
    </w:p>
    <w:p>
      <w:pPr>
        <w:jc w:val="both"/>
        <w:ind w:right="60"/>
        <w:spacing w:after="0" w:line="311" w:lineRule="auto"/>
        <w:rPr>
          <w:sz w:val="20"/>
          <w:szCs w:val="20"/>
          <w:color w:val="auto"/>
        </w:rPr>
      </w:pPr>
      <w:r>
        <w:rPr>
          <w:rFonts w:ascii="Arial" w:cs="Arial" w:eastAsia="Arial" w:hAnsi="Arial"/>
          <w:sz w:val="16"/>
          <w:szCs w:val="16"/>
          <w:color w:val="auto"/>
        </w:rPr>
        <w:t>The Company has joined in the formation of a new egg farmer cooperative in the western United States. ProEgg, Inc. (“ProEgg”) is comprised of leading egg production companies, including Cal-Maine Foods, servicing retail and foodservice shell egg customers in 13 western states. ProEgg is a producer-owned cooperative organized under the Capper-Volstead Act.</w:t>
      </w:r>
    </w:p>
    <w:p>
      <w:pPr>
        <w:spacing w:after="0" w:line="135" w:lineRule="exact"/>
        <w:rPr>
          <w:sz w:val="20"/>
          <w:szCs w:val="20"/>
          <w:color w:val="auto"/>
        </w:rPr>
      </w:pPr>
    </w:p>
    <w:p>
      <w:pPr>
        <w:jc w:val="both"/>
        <w:ind w:right="80"/>
        <w:spacing w:after="0" w:line="292" w:lineRule="auto"/>
        <w:rPr>
          <w:sz w:val="20"/>
          <w:szCs w:val="20"/>
          <w:color w:val="auto"/>
        </w:rPr>
      </w:pPr>
      <w:r>
        <w:rPr>
          <w:rFonts w:ascii="Arial" w:cs="Arial" w:eastAsia="Arial" w:hAnsi="Arial"/>
          <w:sz w:val="16"/>
          <w:szCs w:val="16"/>
          <w:color w:val="auto"/>
        </w:rPr>
        <w:t>Our membership in ProEgg is expected to provide benefits for its customers, including supply chain stability and enhanced reliability. Initially, Cal-Maine Foods’ customer relationships and customer support are expected to remain the same. At some point in the future, it is anticipated that each producer member will sell through ProEgg the shell eggs it produces for sale in the western states covered by the cooperative. Customers would have a single point of contact for their shell egg purchases, as ProEgg would have a dedicated team to market and sell the members’ combined egg production in the region.</w:t>
      </w:r>
    </w:p>
    <w:p>
      <w:pPr>
        <w:spacing w:after="0" w:line="163" w:lineRule="exact"/>
        <w:rPr>
          <w:sz w:val="20"/>
          <w:szCs w:val="20"/>
          <w:color w:val="auto"/>
        </w:rPr>
      </w:pPr>
    </w:p>
    <w:p>
      <w:pPr>
        <w:jc w:val="both"/>
        <w:ind w:right="60"/>
        <w:spacing w:after="0" w:line="273" w:lineRule="auto"/>
        <w:rPr>
          <w:sz w:val="20"/>
          <w:szCs w:val="20"/>
          <w:color w:val="auto"/>
        </w:rPr>
      </w:pPr>
      <w:r>
        <w:rPr>
          <w:rFonts w:ascii="Arial" w:cs="Arial" w:eastAsia="Arial" w:hAnsi="Arial"/>
          <w:sz w:val="17"/>
          <w:szCs w:val="17"/>
          <w:color w:val="auto"/>
        </w:rPr>
        <w:t>The Company’s top priority in joining as a member of ProEgg is serving our valued customers in this important market region. During this initial phase, we will continue our work to confirm that our participation in this new cooperative is in the best interest of our customers and aligns with our long-term interests. This consideration will take place before moving to the next phase of membership, and we expect this process to be completed on or before the end of our fiscal year 2023.</w:t>
      </w:r>
    </w:p>
    <w:p>
      <w:pPr>
        <w:spacing w:after="0" w:line="177"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Retail sales of shell eggs historically have been highest during the fall and winter months and lowest during the summer months. Prices for shell eggs fluctuate in response to seasonal demand factors and a natural increase in egg production during the spring and early summer. Historically, shell egg prices tend to increase with the start of the school year and tend to be highest prior to holiday periods, particularly Thanksgiving, Christmas and Easter. Consequently, and all other things being equal, we would expect to experience lower selling prices, sales volumes and net income (and may incur net losses) in our first and fourth fiscal quarters ending in August/September and May/June, respectively. Because of the seasonal and quarterly fluctuations, comparisons of our sales and operating results between different quarters within a single fiscal year are not necessarily meaningful comparisons.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HPAI</w:t>
      </w:r>
    </w:p>
    <w:p>
      <w:pPr>
        <w:spacing w:after="0" w:line="212"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We are closely monitoring the current outbreak of HPAI that was first detected in commercial flocks in the U.S. in February 2022. Outbreaks in commercial flocks in the U.S. have most recently occurred during each month from September to December</w:t>
      </w:r>
    </w:p>
    <w:p>
      <w:pPr>
        <w:spacing w:after="0" w:line="1"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2022. The current HPAI epidemic has surpassed the prior 2014-2015 outbreak in terms of the number of affected hens in the U.S., and HPAI continues to circulate throughout the wild bird population in the U.S. and abroad. According to the U.S. Centers for Disease Control and Prevention, these detections do not present an immediate public health concern. There have been no positive tests for HPAI at any Cal-Maine Foods’ owned or contracted production facility as of December 28, 2022. The USDA division of Animal and Plant Health Inspection Service (“APHIS”) reported on December 27, 2022 that approximately 43.3 million commercial layer hens and 1.0 million pullets have been depopulated due to HPAI this year. We believe the HPAI outbreak will continue to exert downward pressure on the overall supply of eggs, and the duration of those effects will depend</w:t>
      </w:r>
    </w:p>
    <w:p>
      <w:pPr>
        <w:sectPr>
          <w:pgSz w:w="11900" w:h="16838" w:orient="portrait"/>
          <w:cols w:equalWidth="0" w:num="1">
            <w:col w:w="9300"/>
          </w:cols>
          <w:pgMar w:left="1320" w:top="315" w:right="1279" w:bottom="1440" w:gutter="0" w:footer="0" w:header="0"/>
        </w:sectPr>
      </w:pPr>
    </w:p>
    <w:p>
      <w:pPr>
        <w:spacing w:after="0" w:line="200" w:lineRule="exact"/>
        <w:rPr>
          <w:sz w:val="20"/>
          <w:szCs w:val="20"/>
          <w:color w:val="auto"/>
        </w:rPr>
      </w:pPr>
    </w:p>
    <w:p>
      <w:pPr>
        <w:spacing w:after="0" w:line="242"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9300"/>
          </w:cols>
          <w:pgMar w:left="1320" w:top="315" w:right="1279" w:bottom="1440" w:gutter="0" w:footer="0" w:header="0"/>
          <w:type w:val="continuous"/>
        </w:sectPr>
      </w:pPr>
    </w:p>
    <w:bookmarkStart w:id="18" w:name="page19"/>
    <w:bookmarkEnd w:id="18"/>
    <w:p>
      <w:pPr>
        <w:jc w:val="center"/>
        <w:ind w:right="40"/>
        <w:spacing w:after="0"/>
        <w:rPr>
          <w:sz w:val="20"/>
          <w:szCs w:val="20"/>
          <w:color w:val="auto"/>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82" w:lineRule="exact"/>
        <w:rPr>
          <w:sz w:val="20"/>
          <w:szCs w:val="20"/>
          <w:color w:val="auto"/>
        </w:rPr>
      </w:pPr>
    </w:p>
    <w:p>
      <w:pPr>
        <w:jc w:val="both"/>
        <w:ind w:right="40"/>
        <w:spacing w:after="0" w:line="266" w:lineRule="auto"/>
        <w:rPr>
          <w:sz w:val="20"/>
          <w:szCs w:val="20"/>
          <w:color w:val="auto"/>
        </w:rPr>
      </w:pPr>
      <w:r>
        <w:rPr>
          <w:rFonts w:ascii="Arial" w:cs="Arial" w:eastAsia="Arial" w:hAnsi="Arial"/>
          <w:sz w:val="17"/>
          <w:szCs w:val="17"/>
          <w:color w:val="auto"/>
        </w:rPr>
        <w:t>in part on the timing of replenishment of the U.S. layer hen flock. Prior to the outbreak of HPAI in February 2022, the layer hen flock five-year average from 2017 through 2021 was comprised of approximately 328 million hens. According to a LEAP Market Analytics report dated December 8, 2022, the layer hen inventory is not projected to exceed this 328 million mark again until December of 2023. Layer hen numbers reported by the USDA as of December 1, 2022 were 308.3 million, which represents a decrease of 5.8% compared with the layer hen inventory a year ago. However, the USDA reported that the hatch from July 2022 through November 2022 increased 5.8% as compared with the prior-year period.</w:t>
      </w:r>
    </w:p>
    <w:p>
      <w:pPr>
        <w:spacing w:after="0" w:line="185" w:lineRule="exact"/>
        <w:rPr>
          <w:sz w:val="20"/>
          <w:szCs w:val="20"/>
          <w:color w:val="auto"/>
        </w:rPr>
      </w:pPr>
    </w:p>
    <w:p>
      <w:pPr>
        <w:jc w:val="both"/>
        <w:ind w:right="20"/>
        <w:spacing w:after="0" w:line="277" w:lineRule="auto"/>
        <w:rPr>
          <w:sz w:val="20"/>
          <w:szCs w:val="20"/>
          <w:color w:val="auto"/>
        </w:rPr>
      </w:pPr>
      <w:r>
        <w:rPr>
          <w:rFonts w:ascii="Arial" w:cs="Arial" w:eastAsia="Arial" w:hAnsi="Arial"/>
          <w:sz w:val="17"/>
          <w:szCs w:val="17"/>
          <w:color w:val="auto"/>
        </w:rPr>
        <w:t>While no farm is immune from HPAI, we believe we have implemented and continue to maintain robust biosecurity programs across our locations. We are also working closely with federal, state and local government officials and focused industry groups to mitigate the risk of this and future outbreaks and effectively manage our response, if needed.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CAGE-FREE EGGS</w:t>
      </w:r>
    </w:p>
    <w:p>
      <w:pPr>
        <w:spacing w:after="0" w:line="212" w:lineRule="exact"/>
        <w:rPr>
          <w:sz w:val="20"/>
          <w:szCs w:val="20"/>
          <w:color w:val="auto"/>
        </w:rPr>
      </w:pPr>
    </w:p>
    <w:p>
      <w:pPr>
        <w:jc w:val="both"/>
        <w:ind w:right="20"/>
        <w:spacing w:after="0" w:line="280" w:lineRule="auto"/>
        <w:rPr>
          <w:sz w:val="20"/>
          <w:szCs w:val="20"/>
          <w:color w:val="auto"/>
        </w:rPr>
      </w:pPr>
      <w:r>
        <w:rPr>
          <w:rFonts w:ascii="Arial" w:cs="Arial" w:eastAsia="Arial" w:hAnsi="Arial"/>
          <w:sz w:val="16"/>
          <w:szCs w:val="16"/>
          <w:color w:val="auto"/>
        </w:rPr>
        <w:t>Ten states have passed legislation or regulations mandating minimum space or cage-free requirements for egg production or mandated the sale of only cage-free eggs and egg products in their states, with implementation of these laws ranging from January 2022 to January 2026. These states represent approximately 27% of the U.S. total population according to the 2020 U.S. Census. In California and Massachusetts, which collectively represent 14% of the total U.S. population according to the 2020 U.S. Census, cage-free legislation went into effect January 1, 2022. However, these laws are subject to judicial challenge, and in October 2022 the Supreme Court of the U.S. heard oral arguments in a case challenging California’s law that requires the sale of only cage-free eggs in that state. A decision in that case is expected next year. These laws have already affected and, if upheld, will continue to affect sourcing, production and pricing of eggs (conventional as well as specialty) as the national demand for cage-free production could be greater than the current supply, which would increase the prices of cage-free eggs, unless more cage-free production capacity is constructed. Likewise, the national supply for eggs from conventional production could exceed consumer demand which would decrease the prices of conventional eggs.</w:t>
      </w:r>
    </w:p>
    <w:p>
      <w:pPr>
        <w:spacing w:after="0" w:line="163" w:lineRule="exact"/>
        <w:rPr>
          <w:sz w:val="20"/>
          <w:szCs w:val="20"/>
          <w:color w:val="auto"/>
        </w:rPr>
      </w:pPr>
    </w:p>
    <w:p>
      <w:pPr>
        <w:jc w:val="both"/>
        <w:ind w:right="20"/>
        <w:spacing w:after="0" w:line="264" w:lineRule="auto"/>
        <w:rPr>
          <w:sz w:val="20"/>
          <w:szCs w:val="20"/>
          <w:color w:val="auto"/>
        </w:rPr>
      </w:pPr>
      <w:r>
        <w:rPr>
          <w:rFonts w:ascii="Arial" w:cs="Arial" w:eastAsia="Arial" w:hAnsi="Arial"/>
          <w:sz w:val="17"/>
          <w:szCs w:val="17"/>
          <w:color w:val="auto"/>
        </w:rPr>
        <w:t>A significant number of our customers have previously announced goals to offer cage-free eggs exclusively on or before 2026, subject in most cases to availability of supply, affordability and customer demand, among other contingencies. Some of these customers have recently changed those goals to offer 70% cage-free eggs by the end of 2030. Our customers typically do not commit to long-term purchases of specific quantities or types of eggs with us, and as a result, it is difficult to accurately predict customer requirements for cage-free eggs. We are, however, engaging with our customers in an effort to achieve a smooth transition in meeting their announced goals and needs. We have invested significant capital in recent years to acquire and construct cage-free facilities, and we expect our focus for future expansion will continue to include cage-free facilities. At the same time, we understand the importance of our continued ability to provide conventional eggs in order to provide our customers with a variety of egg choices and to address hunger in our communities.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additional information, see the 2022 Annual Report, Part I Item 1, “Business – Specialty Eggs,” “Business – Growth Strategy” and “Business – Government Regulation,” and the first risk factor in Part I Item 1A, “Risk Factors” under the sub-heading “Legal and Regulatory Risk Factors.”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EXECUTIVE OVERVIEW</w:t>
      </w:r>
    </w:p>
    <w:p>
      <w:pPr>
        <w:spacing w:after="0" w:line="22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For the second quarter of fiscal 2023, we recorded a gross profit of $317.8 million compared to $43.7 million for the same period of fiscal 2022, with the increase due primarily to higher shell egg prices, partially offset by the increased cost of feed ingredients and processing, packaging and warehouse costs.</w:t>
      </w:r>
    </w:p>
    <w:p>
      <w:pPr>
        <w:spacing w:after="0" w:line="198" w:lineRule="exact"/>
        <w:rPr>
          <w:sz w:val="20"/>
          <w:szCs w:val="20"/>
          <w:color w:val="auto"/>
        </w:rPr>
      </w:pPr>
    </w:p>
    <w:p>
      <w:pPr>
        <w:ind w:right="20"/>
        <w:spacing w:after="0" w:line="274" w:lineRule="auto"/>
        <w:rPr>
          <w:sz w:val="20"/>
          <w:szCs w:val="20"/>
          <w:color w:val="auto"/>
        </w:rPr>
      </w:pPr>
      <w:r>
        <w:rPr>
          <w:rFonts w:ascii="Arial" w:cs="Arial" w:eastAsia="Arial" w:hAnsi="Arial"/>
          <w:sz w:val="16"/>
          <w:szCs w:val="16"/>
          <w:color w:val="auto"/>
        </w:rPr>
        <w:t>Our net average selling price per dozen for the second quarter of fiscal 2023 was $2.709 compared to $1.365 in the prior-year period. Conventional egg prices per dozen were $2.883 compared to $1.151 for the prior-year period, and specialty egg prices per dozen were $2.370 compared to $1.898 for the prior-year period. Conventional egg prices increased in the second quarter of fiscal 2023 primarily due to decreased supply caused by the HPAI outbreak combined with good customer demand. See the discussion under the heading “HPAI” above. The daily average price for the UB southeast large index for the second quarter of fiscal 2023 increased 154.8% from the comparable period in the prior year, reaching near-record highs. Conventional egg prices exceeding specialty egg prices has occurred for the past three quarters but is atypical historically. Conventional egg prices generally respond more quickly to market conditions because we sell the majority of our conventional shell eggs based on formulas that adjust periodically and take into account, in varying ways, independently quoted regional wholesale market prices for shell eggs or formulas related to our costs of production. The majority of our specialty eggs are typically sold at prices and terms negotiated directly with customers and therefore do not fluctuate as much as conventional pricing. For information about historical shell egg prices, see Part I Item I of our 2022 Annual Report.</w:t>
      </w:r>
    </w:p>
    <w:p>
      <w:pPr>
        <w:spacing w:after="0" w:line="166" w:lineRule="exact"/>
        <w:rPr>
          <w:sz w:val="20"/>
          <w:szCs w:val="20"/>
          <w:color w:val="auto"/>
        </w:rPr>
      </w:pPr>
    </w:p>
    <w:p>
      <w:pPr>
        <w:ind w:right="20"/>
        <w:spacing w:after="0" w:line="341" w:lineRule="auto"/>
        <w:rPr>
          <w:sz w:val="20"/>
          <w:szCs w:val="20"/>
          <w:color w:val="auto"/>
        </w:rPr>
      </w:pPr>
      <w:r>
        <w:rPr>
          <w:rFonts w:ascii="Arial" w:cs="Arial" w:eastAsia="Arial" w:hAnsi="Arial"/>
          <w:sz w:val="16"/>
          <w:szCs w:val="16"/>
          <w:color w:val="auto"/>
        </w:rPr>
        <w:t>Our total dozens sold increased 5.4% to 284.1 million dozen shell eggs for the second quarter of fiscal 2023 compared to 269.6 million dozen for the same period of fiscal 2022. For the second quarter of fiscal 2023, conventional dozens sold decreased</w:t>
      </w:r>
    </w:p>
    <w:p>
      <w:pPr>
        <w:sectPr>
          <w:pgSz w:w="11900" w:h="16838" w:orient="portrait"/>
          <w:cols w:equalWidth="0" w:num="1">
            <w:col w:w="9280"/>
          </w:cols>
          <w:pgMar w:left="1320" w:top="315" w:right="1299" w:bottom="1440" w:gutter="0" w:footer="0" w:header="0"/>
        </w:sectPr>
      </w:pPr>
    </w:p>
    <w:p>
      <w:pPr>
        <w:spacing w:after="0" w:line="35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9280"/>
          </w:cols>
          <w:pgMar w:left="1320" w:top="315" w:right="1299" w:bottom="1440" w:gutter="0" w:footer="0" w:header="0"/>
          <w:type w:val="continuous"/>
        </w:sectPr>
      </w:pPr>
    </w:p>
    <w:bookmarkStart w:id="19" w:name="page20"/>
    <w:bookmarkEnd w:id="19"/>
    <w:p>
      <w:pPr>
        <w:jc w:val="center"/>
        <w:ind w:right="20"/>
        <w:spacing w:after="0"/>
        <w:rPr>
          <w:sz w:val="20"/>
          <w:szCs w:val="20"/>
          <w:color w:val="auto"/>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8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2.2% and specialty dozens sold increased 24.1% as compared to the same quarter in fiscal 2022. Demand for specialty eggs increased in the second quarter of fiscal 2023 compared to the same prior year period due primarily to the higher prices for conventional eggs. Further, demand for specialty eggs continued to increase as retailers continued to shift to selling cage-free products and cage-free legislation went into full effect in California and Massachusetts on January 1, 2022.</w:t>
      </w:r>
    </w:p>
    <w:p>
      <w:pPr>
        <w:spacing w:after="0" w:line="144" w:lineRule="exact"/>
        <w:rPr>
          <w:sz w:val="20"/>
          <w:szCs w:val="20"/>
          <w:color w:val="auto"/>
        </w:rPr>
      </w:pPr>
    </w:p>
    <w:p>
      <w:pPr>
        <w:jc w:val="both"/>
        <w:ind w:right="40"/>
        <w:spacing w:after="0" w:line="290" w:lineRule="auto"/>
        <w:rPr>
          <w:sz w:val="20"/>
          <w:szCs w:val="20"/>
          <w:color w:val="auto"/>
        </w:rPr>
      </w:pPr>
      <w:r>
        <w:rPr>
          <w:rFonts w:ascii="Arial" w:cs="Arial" w:eastAsia="Arial" w:hAnsi="Arial"/>
          <w:sz w:val="16"/>
          <w:szCs w:val="16"/>
          <w:color w:val="auto"/>
        </w:rPr>
        <w:t>Our farm production costs per dozen produced for the second quarter of fiscal 2023 increased 22.0%, or $0.193, compared to the second quarter of fiscal 2022. This increase was primarily due to increased prices for feed ingredients and a higher basis in corn in most of our production areas, which added to our expense. For the second quarter of fiscal 2023, the average Chicago Board of Trade (“CBOT”) daily market price was $6.78 per bushel for corn and $423 per ton for soybean meal, representing increases of 24.8% and 25.5%, respectively, compared to the average daily CBOT prices for the comparable period in the prior year. For information about historical corn and soybean meal prices, see Part I Item I of our 2022 Annual Report.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RESULTS OF OPERATIONS</w:t>
      </w:r>
    </w:p>
    <w:p>
      <w:pPr>
        <w:spacing w:after="0" w:line="225"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color w:val="auto"/>
        </w:rPr>
        <w:t>The following table sets forth, for the periods indicated, certain items from our Condensed Consolidated Statements of Operations expressed as a percentage of net sales.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2740" w:type="dxa"/>
            <w:vAlign w:val="bottom"/>
            <w:tcBorders>
              <w:bottom w:val="single" w:sz="8" w:color="auto"/>
            </w:tcBorders>
            <w:gridSpan w:val="5"/>
          </w:tcPr>
          <w:p>
            <w:pPr>
              <w:jc w:val="right"/>
              <w:ind w:right="356"/>
              <w:spacing w:after="0"/>
              <w:rPr>
                <w:sz w:val="20"/>
                <w:szCs w:val="20"/>
                <w:color w:val="auto"/>
              </w:rPr>
            </w:pPr>
            <w:r>
              <w:rPr>
                <w:rFonts w:ascii="Arial" w:cs="Arial" w:eastAsia="Arial" w:hAnsi="Arial"/>
                <w:sz w:val="18"/>
                <w:szCs w:val="18"/>
                <w:color w:val="auto"/>
              </w:rPr>
              <w:t>Thirteen Weeks Ended</w:t>
            </w: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2840" w:type="dxa"/>
            <w:vAlign w:val="bottom"/>
            <w:tcBorders>
              <w:bottom w:val="single" w:sz="8" w:color="auto"/>
            </w:tcBorders>
            <w:gridSpan w:val="5"/>
          </w:tcPr>
          <w:p>
            <w:pPr>
              <w:jc w:val="right"/>
              <w:ind w:right="336"/>
              <w:spacing w:after="0"/>
              <w:rPr>
                <w:sz w:val="20"/>
                <w:szCs w:val="20"/>
                <w:color w:val="auto"/>
              </w:rPr>
            </w:pPr>
            <w:r>
              <w:rPr>
                <w:rFonts w:ascii="Arial" w:cs="Arial" w:eastAsia="Arial" w:hAnsi="Arial"/>
                <w:sz w:val="18"/>
                <w:szCs w:val="18"/>
                <w:color w:val="auto"/>
              </w:rPr>
              <w:t>Twenty-six Weeks Ended</w:t>
            </w:r>
          </w:p>
        </w:tc>
        <w:tc>
          <w:tcPr>
            <w:tcW w:w="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 w:type="dxa"/>
            <w:vAlign w:val="bottom"/>
            <w:tcBorders>
              <w:bottom w:val="single" w:sz="8" w:color="CCEEFF"/>
            </w:tcBorders>
          </w:tcPr>
          <w:p>
            <w:pPr>
              <w:spacing w:after="0"/>
              <w:rPr>
                <w:sz w:val="18"/>
                <w:szCs w:val="18"/>
                <w:color w:val="auto"/>
              </w:rPr>
            </w:pPr>
          </w:p>
        </w:tc>
        <w:tc>
          <w:tcPr>
            <w:tcW w:w="320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November 26,</w:t>
            </w: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November 27,</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November 26,</w:t>
            </w: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November 27,</w:t>
            </w:r>
          </w:p>
        </w:tc>
        <w:tc>
          <w:tcPr>
            <w:tcW w:w="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40" w:type="dxa"/>
            <w:vAlign w:val="bottom"/>
            <w:shd w:val="clear" w:color="auto" w:fill="CCEEFF"/>
          </w:tcPr>
          <w:p>
            <w:pPr>
              <w:spacing w:after="0"/>
              <w:rPr>
                <w:sz w:val="10"/>
                <w:szCs w:val="10"/>
                <w:color w:val="auto"/>
              </w:rPr>
            </w:pPr>
          </w:p>
        </w:tc>
        <w:tc>
          <w:tcPr>
            <w:tcW w:w="3200" w:type="dxa"/>
            <w:vAlign w:val="bottom"/>
            <w:tcBorders>
              <w:right w:val="single" w:sz="8" w:color="CCEEFF"/>
            </w:tcBorders>
            <w:vMerge w:val="restart"/>
            <w:shd w:val="clear" w:color="auto" w:fill="CCEEFF"/>
          </w:tcPr>
          <w:p>
            <w:pPr>
              <w:spacing w:after="0" w:line="203" w:lineRule="exact"/>
              <w:rPr>
                <w:sz w:val="20"/>
                <w:szCs w:val="20"/>
                <w:color w:val="auto"/>
              </w:rPr>
            </w:pPr>
            <w:r>
              <w:rPr>
                <w:rFonts w:ascii="Arial" w:cs="Arial" w:eastAsia="Arial" w:hAnsi="Arial"/>
                <w:sz w:val="18"/>
                <w:szCs w:val="18"/>
                <w:color w:val="auto"/>
              </w:rPr>
              <w:t>Net sales</w:t>
            </w:r>
          </w:p>
        </w:tc>
        <w:tc>
          <w:tcPr>
            <w:tcW w:w="1280" w:type="dxa"/>
            <w:vAlign w:val="bottom"/>
            <w:shd w:val="clear" w:color="auto" w:fill="CCEEFF"/>
          </w:tcPr>
          <w:p>
            <w:pPr>
              <w:jc w:val="right"/>
              <w:ind w:right="296"/>
              <w:spacing w:after="0" w:line="122" w:lineRule="exact"/>
              <w:rPr>
                <w:sz w:val="20"/>
                <w:szCs w:val="20"/>
                <w:color w:val="auto"/>
              </w:rPr>
            </w:pPr>
            <w:r>
              <w:rPr>
                <w:rFonts w:ascii="Arial" w:cs="Arial" w:eastAsia="Arial" w:hAnsi="Arial"/>
                <w:sz w:val="13"/>
                <w:szCs w:val="13"/>
                <w:color w:val="auto"/>
              </w:rPr>
              <w:t>2022</w:t>
            </w:r>
          </w:p>
        </w:tc>
        <w:tc>
          <w:tcPr>
            <w:tcW w:w="4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line="203" w:lineRule="exact"/>
              <w:rPr>
                <w:sz w:val="20"/>
                <w:szCs w:val="20"/>
                <w:color w:val="auto"/>
              </w:rPr>
            </w:pPr>
            <w:r>
              <w:rPr>
                <w:rFonts w:ascii="Arial" w:cs="Arial" w:eastAsia="Arial" w:hAnsi="Arial"/>
                <w:sz w:val="18"/>
                <w:szCs w:val="18"/>
                <w:color w:val="auto"/>
                <w:w w:val="74"/>
                <w:shd w:val="clear" w:color="auto" w:fill="CCEEFF"/>
              </w:rPr>
              <w:t>%</w:t>
            </w:r>
          </w:p>
        </w:tc>
        <w:tc>
          <w:tcPr>
            <w:tcW w:w="40" w:type="dxa"/>
            <w:vAlign w:val="bottom"/>
            <w:shd w:val="clear" w:color="auto" w:fill="CCEEFF"/>
          </w:tcPr>
          <w:p>
            <w:pPr>
              <w:spacing w:after="0"/>
              <w:rPr>
                <w:sz w:val="10"/>
                <w:szCs w:val="10"/>
                <w:color w:val="auto"/>
              </w:rPr>
            </w:pPr>
          </w:p>
        </w:tc>
        <w:tc>
          <w:tcPr>
            <w:tcW w:w="1240" w:type="dxa"/>
            <w:vAlign w:val="bottom"/>
            <w:shd w:val="clear" w:color="auto" w:fill="CCEEFF"/>
          </w:tcPr>
          <w:p>
            <w:pPr>
              <w:jc w:val="right"/>
              <w:ind w:right="236"/>
              <w:spacing w:after="0" w:line="122" w:lineRule="exact"/>
              <w:rPr>
                <w:sz w:val="20"/>
                <w:szCs w:val="20"/>
                <w:color w:val="auto"/>
              </w:rPr>
            </w:pPr>
            <w:r>
              <w:rPr>
                <w:rFonts w:ascii="Arial" w:cs="Arial" w:eastAsia="Arial" w:hAnsi="Arial"/>
                <w:sz w:val="13"/>
                <w:szCs w:val="13"/>
                <w:color w:val="auto"/>
              </w:rPr>
              <w:t>2021</w:t>
            </w:r>
          </w:p>
        </w:tc>
        <w:tc>
          <w:tcPr>
            <w:tcW w:w="80" w:type="dxa"/>
            <w:vAlign w:val="bottom"/>
            <w:shd w:val="clear" w:color="auto" w:fill="CCEEFF"/>
          </w:tcPr>
          <w:p>
            <w:pPr>
              <w:spacing w:after="0"/>
              <w:rPr>
                <w:sz w:val="10"/>
                <w:szCs w:val="10"/>
                <w:color w:val="auto"/>
              </w:rPr>
            </w:pPr>
          </w:p>
        </w:tc>
        <w:tc>
          <w:tcPr>
            <w:tcW w:w="160" w:type="dxa"/>
            <w:vAlign w:val="bottom"/>
            <w:vMerge w:val="restart"/>
            <w:shd w:val="clear" w:color="auto" w:fill="CCEEFF"/>
          </w:tcPr>
          <w:p>
            <w:pPr>
              <w:jc w:val="right"/>
              <w:spacing w:after="0" w:line="203" w:lineRule="exact"/>
              <w:rPr>
                <w:sz w:val="20"/>
                <w:szCs w:val="20"/>
                <w:color w:val="auto"/>
              </w:rPr>
            </w:pPr>
            <w:r>
              <w:rPr>
                <w:rFonts w:ascii="Arial" w:cs="Arial" w:eastAsia="Arial" w:hAnsi="Arial"/>
                <w:sz w:val="18"/>
                <w:szCs w:val="18"/>
                <w:color w:val="auto"/>
                <w:w w:val="87"/>
                <w:shd w:val="clear" w:color="auto" w:fill="CCEEFF"/>
              </w:rPr>
              <w:t>%</w:t>
            </w:r>
          </w:p>
        </w:tc>
        <w:tc>
          <w:tcPr>
            <w:tcW w:w="40" w:type="dxa"/>
            <w:vAlign w:val="bottom"/>
            <w:tcBorders>
              <w:left w:val="single" w:sz="8" w:color="CCEEFF"/>
            </w:tcBorders>
            <w:shd w:val="clear" w:color="auto" w:fill="CCEEFF"/>
          </w:tcPr>
          <w:p>
            <w:pPr>
              <w:spacing w:after="0"/>
              <w:rPr>
                <w:sz w:val="10"/>
                <w:szCs w:val="10"/>
                <w:color w:val="auto"/>
              </w:rPr>
            </w:pPr>
          </w:p>
        </w:tc>
        <w:tc>
          <w:tcPr>
            <w:tcW w:w="1280" w:type="dxa"/>
            <w:vAlign w:val="bottom"/>
            <w:shd w:val="clear" w:color="auto" w:fill="CCEEFF"/>
          </w:tcPr>
          <w:p>
            <w:pPr>
              <w:jc w:val="right"/>
              <w:ind w:right="296"/>
              <w:spacing w:after="0" w:line="122" w:lineRule="exact"/>
              <w:rPr>
                <w:sz w:val="20"/>
                <w:szCs w:val="20"/>
                <w:color w:val="auto"/>
              </w:rPr>
            </w:pPr>
            <w:r>
              <w:rPr>
                <w:rFonts w:ascii="Arial" w:cs="Arial" w:eastAsia="Arial" w:hAnsi="Arial"/>
                <w:sz w:val="13"/>
                <w:szCs w:val="13"/>
                <w:color w:val="auto"/>
              </w:rPr>
              <w:t>2022</w:t>
            </w:r>
          </w:p>
        </w:tc>
        <w:tc>
          <w:tcPr>
            <w:tcW w:w="40" w:type="dxa"/>
            <w:vAlign w:val="bottom"/>
            <w:shd w:val="clear" w:color="auto" w:fill="CCEEFF"/>
          </w:tcPr>
          <w:p>
            <w:pPr>
              <w:spacing w:after="0"/>
              <w:rPr>
                <w:sz w:val="10"/>
                <w:szCs w:val="10"/>
                <w:color w:val="auto"/>
              </w:rPr>
            </w:pPr>
          </w:p>
        </w:tc>
        <w:tc>
          <w:tcPr>
            <w:tcW w:w="180" w:type="dxa"/>
            <w:vAlign w:val="bottom"/>
            <w:gridSpan w:val="2"/>
            <w:vMerge w:val="restart"/>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w w:val="74"/>
                <w:shd w:val="clear" w:color="auto" w:fill="CCEEFF"/>
              </w:rPr>
              <w:t>%</w:t>
            </w:r>
          </w:p>
        </w:tc>
        <w:tc>
          <w:tcPr>
            <w:tcW w:w="1340" w:type="dxa"/>
            <w:vAlign w:val="bottom"/>
            <w:tcBorders>
              <w:right w:val="single" w:sz="8" w:color="CCEEFF"/>
            </w:tcBorders>
            <w:shd w:val="clear" w:color="auto" w:fill="CCEEFF"/>
          </w:tcPr>
          <w:p>
            <w:pPr>
              <w:jc w:val="right"/>
              <w:ind w:right="336"/>
              <w:spacing w:after="0" w:line="122" w:lineRule="exact"/>
              <w:rPr>
                <w:sz w:val="20"/>
                <w:szCs w:val="20"/>
                <w:color w:val="auto"/>
              </w:rPr>
            </w:pPr>
            <w:r>
              <w:rPr>
                <w:rFonts w:ascii="Arial" w:cs="Arial" w:eastAsia="Arial" w:hAnsi="Arial"/>
                <w:sz w:val="13"/>
                <w:szCs w:val="13"/>
                <w:color w:val="auto"/>
              </w:rPr>
              <w:t>2021</w:t>
            </w:r>
          </w:p>
        </w:tc>
        <w:tc>
          <w:tcPr>
            <w:tcW w:w="140" w:type="dxa"/>
            <w:vAlign w:val="bottom"/>
            <w:vMerge w:val="restart"/>
            <w:shd w:val="clear" w:color="auto" w:fill="CCEEFF"/>
          </w:tcPr>
          <w:p>
            <w:pPr>
              <w:jc w:val="right"/>
              <w:spacing w:after="0" w:line="203" w:lineRule="exact"/>
              <w:rPr>
                <w:sz w:val="20"/>
                <w:szCs w:val="20"/>
                <w:color w:val="auto"/>
              </w:rPr>
            </w:pPr>
            <w:r>
              <w:rPr>
                <w:rFonts w:ascii="Arial" w:cs="Arial" w:eastAsia="Arial" w:hAnsi="Arial"/>
                <w:sz w:val="18"/>
                <w:szCs w:val="18"/>
                <w:color w:val="auto"/>
                <w:w w:val="74"/>
                <w:shd w:val="clear" w:color="auto" w:fill="CCEEFF"/>
              </w:rPr>
              <w:t>%</w:t>
            </w:r>
          </w:p>
        </w:tc>
        <w:tc>
          <w:tcPr>
            <w:tcW w:w="0" w:type="dxa"/>
            <w:vAlign w:val="bottom"/>
          </w:tcPr>
          <w:p>
            <w:pPr>
              <w:spacing w:after="0"/>
              <w:rPr>
                <w:sz w:val="1"/>
                <w:szCs w:val="1"/>
                <w:color w:val="auto"/>
              </w:rPr>
            </w:pPr>
          </w:p>
        </w:tc>
      </w:tr>
      <w:tr>
        <w:trPr>
          <w:trHeight w:val="81"/>
        </w:trPr>
        <w:tc>
          <w:tcPr>
            <w:tcW w:w="40" w:type="dxa"/>
            <w:vAlign w:val="bottom"/>
            <w:shd w:val="clear" w:color="auto" w:fill="CCEEFF"/>
          </w:tcPr>
          <w:p>
            <w:pPr>
              <w:spacing w:after="0"/>
              <w:rPr>
                <w:sz w:val="7"/>
                <w:szCs w:val="7"/>
                <w:color w:val="auto"/>
              </w:rPr>
            </w:pPr>
          </w:p>
        </w:tc>
        <w:tc>
          <w:tcPr>
            <w:tcW w:w="3200" w:type="dxa"/>
            <w:vAlign w:val="bottom"/>
            <w:tcBorders>
              <w:right w:val="single" w:sz="8" w:color="CCEEFF"/>
            </w:tcBorders>
            <w:vMerge w:val="continue"/>
            <w:shd w:val="clear" w:color="auto" w:fill="CCEEFF"/>
          </w:tcPr>
          <w:p>
            <w:pPr>
              <w:spacing w:after="0"/>
              <w:rPr>
                <w:sz w:val="7"/>
                <w:szCs w:val="7"/>
                <w:color w:val="auto"/>
              </w:rPr>
            </w:pPr>
          </w:p>
        </w:tc>
        <w:tc>
          <w:tcPr>
            <w:tcW w:w="1280" w:type="dxa"/>
            <w:vAlign w:val="bottom"/>
            <w:shd w:val="clear" w:color="auto" w:fill="CCEEFF"/>
          </w:tcPr>
          <w:p>
            <w:pPr>
              <w:jc w:val="right"/>
              <w:ind w:right="16"/>
              <w:spacing w:after="0" w:line="81" w:lineRule="exact"/>
              <w:rPr>
                <w:sz w:val="20"/>
                <w:szCs w:val="20"/>
                <w:color w:val="auto"/>
              </w:rPr>
            </w:pPr>
            <w:r>
              <w:rPr>
                <w:rFonts w:ascii="Arial" w:cs="Arial" w:eastAsia="Arial" w:hAnsi="Arial"/>
                <w:sz w:val="9"/>
                <w:szCs w:val="9"/>
                <w:color w:val="auto"/>
              </w:rPr>
              <w:t>100.0</w:t>
            </w:r>
          </w:p>
        </w:tc>
        <w:tc>
          <w:tcPr>
            <w:tcW w:w="40" w:type="dxa"/>
            <w:vAlign w:val="bottom"/>
            <w:shd w:val="clear" w:color="auto" w:fill="CCEEFF"/>
          </w:tcPr>
          <w:p>
            <w:pPr>
              <w:spacing w:after="0"/>
              <w:rPr>
                <w:sz w:val="7"/>
                <w:szCs w:val="7"/>
                <w:color w:val="auto"/>
              </w:rPr>
            </w:pPr>
          </w:p>
        </w:tc>
        <w:tc>
          <w:tcPr>
            <w:tcW w:w="140" w:type="dxa"/>
            <w:vAlign w:val="bottom"/>
            <w:vMerge w:val="continue"/>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240" w:type="dxa"/>
            <w:vAlign w:val="bottom"/>
            <w:shd w:val="clear" w:color="auto" w:fill="CCEEFF"/>
          </w:tcPr>
          <w:p>
            <w:pPr>
              <w:jc w:val="right"/>
              <w:spacing w:after="0" w:line="81" w:lineRule="exact"/>
              <w:rPr>
                <w:sz w:val="20"/>
                <w:szCs w:val="20"/>
                <w:color w:val="auto"/>
              </w:rPr>
            </w:pPr>
            <w:r>
              <w:rPr>
                <w:rFonts w:ascii="Arial" w:cs="Arial" w:eastAsia="Arial" w:hAnsi="Arial"/>
                <w:sz w:val="9"/>
                <w:szCs w:val="9"/>
                <w:color w:val="auto"/>
              </w:rPr>
              <w:t>100.0</w:t>
            </w:r>
          </w:p>
        </w:tc>
        <w:tc>
          <w:tcPr>
            <w:tcW w:w="80" w:type="dxa"/>
            <w:vAlign w:val="bottom"/>
            <w:shd w:val="clear" w:color="auto" w:fill="CCEEFF"/>
          </w:tcPr>
          <w:p>
            <w:pPr>
              <w:spacing w:after="0"/>
              <w:rPr>
                <w:sz w:val="7"/>
                <w:szCs w:val="7"/>
                <w:color w:val="auto"/>
              </w:rPr>
            </w:pPr>
          </w:p>
        </w:tc>
        <w:tc>
          <w:tcPr>
            <w:tcW w:w="160" w:type="dxa"/>
            <w:vAlign w:val="bottom"/>
            <w:vMerge w:val="continue"/>
            <w:shd w:val="clear" w:color="auto" w:fill="CCEEFF"/>
          </w:tcPr>
          <w:p>
            <w:pPr>
              <w:spacing w:after="0"/>
              <w:rPr>
                <w:sz w:val="7"/>
                <w:szCs w:val="7"/>
                <w:color w:val="auto"/>
              </w:rPr>
            </w:pPr>
          </w:p>
        </w:tc>
        <w:tc>
          <w:tcPr>
            <w:tcW w:w="40" w:type="dxa"/>
            <w:vAlign w:val="bottom"/>
            <w:tcBorders>
              <w:left w:val="single" w:sz="8" w:color="CCEEFF"/>
            </w:tcBorders>
            <w:shd w:val="clear" w:color="auto" w:fill="CCEEFF"/>
          </w:tcPr>
          <w:p>
            <w:pPr>
              <w:spacing w:after="0"/>
              <w:rPr>
                <w:sz w:val="7"/>
                <w:szCs w:val="7"/>
                <w:color w:val="auto"/>
              </w:rPr>
            </w:pPr>
          </w:p>
        </w:tc>
        <w:tc>
          <w:tcPr>
            <w:tcW w:w="1280" w:type="dxa"/>
            <w:vAlign w:val="bottom"/>
            <w:shd w:val="clear" w:color="auto" w:fill="CCEEFF"/>
          </w:tcPr>
          <w:p>
            <w:pPr>
              <w:jc w:val="right"/>
              <w:ind w:right="16"/>
              <w:spacing w:after="0" w:line="81" w:lineRule="exact"/>
              <w:rPr>
                <w:sz w:val="20"/>
                <w:szCs w:val="20"/>
                <w:color w:val="auto"/>
              </w:rPr>
            </w:pPr>
            <w:r>
              <w:rPr>
                <w:rFonts w:ascii="Arial" w:cs="Arial" w:eastAsia="Arial" w:hAnsi="Arial"/>
                <w:sz w:val="9"/>
                <w:szCs w:val="9"/>
                <w:color w:val="auto"/>
              </w:rPr>
              <w:t>100.0</w:t>
            </w:r>
          </w:p>
        </w:tc>
        <w:tc>
          <w:tcPr>
            <w:tcW w:w="40" w:type="dxa"/>
            <w:vAlign w:val="bottom"/>
            <w:shd w:val="clear" w:color="auto" w:fill="CCEEFF"/>
          </w:tcPr>
          <w:p>
            <w:pPr>
              <w:spacing w:after="0"/>
              <w:rPr>
                <w:sz w:val="7"/>
                <w:szCs w:val="7"/>
                <w:color w:val="auto"/>
              </w:rPr>
            </w:pPr>
          </w:p>
        </w:tc>
        <w:tc>
          <w:tcPr>
            <w:tcW w:w="180" w:type="dxa"/>
            <w:vAlign w:val="bottom"/>
            <w:gridSpan w:val="2"/>
            <w:vMerge w:val="continue"/>
            <w:shd w:val="clear" w:color="auto" w:fill="CCEEFF"/>
          </w:tcPr>
          <w:p>
            <w:pPr>
              <w:spacing w:after="0"/>
              <w:rPr>
                <w:sz w:val="7"/>
                <w:szCs w:val="7"/>
                <w:color w:val="auto"/>
              </w:rPr>
            </w:pPr>
          </w:p>
        </w:tc>
        <w:tc>
          <w:tcPr>
            <w:tcW w:w="1340" w:type="dxa"/>
            <w:vAlign w:val="bottom"/>
            <w:tcBorders>
              <w:right w:val="single" w:sz="8" w:color="CCEEFF"/>
            </w:tcBorders>
            <w:shd w:val="clear" w:color="auto" w:fill="CCEEFF"/>
          </w:tcPr>
          <w:p>
            <w:pPr>
              <w:jc w:val="right"/>
              <w:ind w:right="56"/>
              <w:spacing w:after="0" w:line="81" w:lineRule="exact"/>
              <w:rPr>
                <w:sz w:val="20"/>
                <w:szCs w:val="20"/>
                <w:color w:val="auto"/>
              </w:rPr>
            </w:pPr>
            <w:r>
              <w:rPr>
                <w:rFonts w:ascii="Arial" w:cs="Arial" w:eastAsia="Arial" w:hAnsi="Arial"/>
                <w:sz w:val="9"/>
                <w:szCs w:val="9"/>
                <w:color w:val="auto"/>
              </w:rPr>
              <w:t>100.0</w:t>
            </w:r>
          </w:p>
        </w:tc>
        <w:tc>
          <w:tcPr>
            <w:tcW w:w="14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324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60.4</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88.5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63.3</w:t>
            </w:r>
          </w:p>
        </w:tc>
        <w:tc>
          <w:tcPr>
            <w:tcW w:w="220" w:type="dxa"/>
            <w:vAlign w:val="bottom"/>
            <w:gridSpan w:val="3"/>
          </w:tcPr>
          <w:p>
            <w:pPr>
              <w:jc w:val="right"/>
              <w:ind w:right="4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56"/>
              <w:spacing w:after="0"/>
              <w:rPr>
                <w:sz w:val="20"/>
                <w:szCs w:val="20"/>
                <w:color w:val="auto"/>
              </w:rPr>
            </w:pPr>
            <w:r>
              <w:rPr>
                <w:rFonts w:ascii="Arial" w:cs="Arial" w:eastAsia="Arial" w:hAnsi="Arial"/>
                <w:sz w:val="18"/>
                <w:szCs w:val="18"/>
                <w:color w:val="auto"/>
              </w:rPr>
              <w:t>92.9</w:t>
            </w:r>
          </w:p>
        </w:tc>
        <w:tc>
          <w:tcPr>
            <w:tcW w:w="14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40" w:type="dxa"/>
            <w:vAlign w:val="bottom"/>
            <w:shd w:val="clear" w:color="auto" w:fill="CCEEFF"/>
          </w:tcPr>
          <w:p>
            <w:pPr>
              <w:spacing w:after="0" w:line="20" w:lineRule="exact"/>
              <w:rPr>
                <w:sz w:val="1"/>
                <w:szCs w:val="1"/>
                <w:color w:val="auto"/>
              </w:rPr>
            </w:pPr>
          </w:p>
        </w:tc>
        <w:tc>
          <w:tcPr>
            <w:tcW w:w="3200" w:type="dxa"/>
            <w:vAlign w:val="bottom"/>
            <w:tcBorders>
              <w:right w:val="single" w:sz="8" w:color="CCEEFF"/>
            </w:tcBorders>
            <w:shd w:val="clear" w:color="auto" w:fill="CCEEFF"/>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 w:type="dxa"/>
            <w:vAlign w:val="bottom"/>
            <w:shd w:val="clear" w:color="auto" w:fill="CCEEFF"/>
          </w:tcPr>
          <w:p>
            <w:pPr>
              <w:spacing w:after="0"/>
              <w:rPr>
                <w:sz w:val="19"/>
                <w:szCs w:val="19"/>
                <w:color w:val="auto"/>
              </w:rPr>
            </w:pPr>
          </w:p>
        </w:tc>
        <w:tc>
          <w:tcPr>
            <w:tcW w:w="3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39.6</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shd w:val="clear" w:color="auto" w:fill="CCEEFF"/>
              </w:rPr>
              <w:t>%</w:t>
            </w:r>
          </w:p>
        </w:tc>
        <w:tc>
          <w:tcPr>
            <w:tcW w:w="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shd w:val="clear" w:color="auto" w:fill="CCEEFF"/>
              </w:rPr>
              <w:t>%</w:t>
            </w:r>
          </w:p>
        </w:tc>
        <w:tc>
          <w:tcPr>
            <w:tcW w:w="40" w:type="dxa"/>
            <w:vAlign w:val="bottom"/>
            <w:tcBorders>
              <w:left w:val="single" w:sz="8" w:color="CCEEFF"/>
            </w:tcBorders>
            <w:shd w:val="clear" w:color="auto" w:fill="CCEEFF"/>
          </w:tcPr>
          <w:p>
            <w:pPr>
              <w:spacing w:after="0"/>
              <w:rPr>
                <w:sz w:val="19"/>
                <w:szCs w:val="19"/>
                <w:color w:val="auto"/>
              </w:rPr>
            </w:pPr>
          </w:p>
        </w:tc>
        <w:tc>
          <w:tcPr>
            <w:tcW w:w="12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36.7</w:t>
            </w:r>
          </w:p>
        </w:tc>
        <w:tc>
          <w:tcPr>
            <w:tcW w:w="4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4"/>
                <w:shd w:val="clear" w:color="auto" w:fill="CCEEFF"/>
              </w:rPr>
              <w:t>%</w:t>
            </w:r>
          </w:p>
        </w:tc>
        <w:tc>
          <w:tcPr>
            <w:tcW w:w="1340" w:type="dxa"/>
            <w:vAlign w:val="bottom"/>
            <w:tcBorders>
              <w:right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7.1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shd w:val="clear" w:color="auto" w:fill="CCEEFF"/>
              </w:rPr>
              <w:t>%</w:t>
            </w:r>
          </w:p>
        </w:tc>
        <w:tc>
          <w:tcPr>
            <w:tcW w:w="0" w:type="dxa"/>
            <w:vAlign w:val="bottom"/>
          </w:tcPr>
          <w:p>
            <w:pPr>
              <w:spacing w:after="0"/>
              <w:rPr>
                <w:sz w:val="1"/>
                <w:szCs w:val="1"/>
                <w:color w:val="auto"/>
              </w:rPr>
            </w:pPr>
          </w:p>
        </w:tc>
      </w:tr>
      <w:tr>
        <w:trPr>
          <w:trHeight w:val="229"/>
        </w:trPr>
        <w:tc>
          <w:tcPr>
            <w:tcW w:w="324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w:t>
            </w: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7.2</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7.6</w:t>
            </w:r>
          </w:p>
        </w:tc>
        <w:tc>
          <w:tcPr>
            <w:tcW w:w="220" w:type="dxa"/>
            <w:vAlign w:val="bottom"/>
            <w:gridSpan w:val="3"/>
          </w:tcPr>
          <w:p>
            <w:pPr>
              <w:jc w:val="right"/>
              <w:ind w:right="4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56"/>
              <w:spacing w:after="0"/>
              <w:rPr>
                <w:sz w:val="20"/>
                <w:szCs w:val="20"/>
                <w:color w:val="auto"/>
              </w:rPr>
            </w:pPr>
            <w:r>
              <w:rPr>
                <w:rFonts w:ascii="Arial" w:cs="Arial" w:eastAsia="Arial" w:hAnsi="Arial"/>
                <w:sz w:val="18"/>
                <w:szCs w:val="18"/>
                <w:color w:val="auto"/>
              </w:rPr>
              <w:t>13.3</w:t>
            </w:r>
          </w:p>
        </w:tc>
        <w:tc>
          <w:tcPr>
            <w:tcW w:w="14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3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(Gain) loss on disposal of fixed assets</w:t>
            </w:r>
          </w:p>
        </w:tc>
        <w:tc>
          <w:tcPr>
            <w:tcW w:w="12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shd w:val="clear" w:color="auto" w:fill="CCEEFF"/>
              </w:rPr>
              <w:t>%</w:t>
            </w:r>
          </w:p>
        </w:tc>
        <w:tc>
          <w:tcPr>
            <w:tcW w:w="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shd w:val="clear" w:color="auto" w:fill="CCEEFF"/>
              </w:rPr>
              <w:t>%</w:t>
            </w:r>
          </w:p>
        </w:tc>
        <w:tc>
          <w:tcPr>
            <w:tcW w:w="40" w:type="dxa"/>
            <w:vAlign w:val="bottom"/>
            <w:tcBorders>
              <w:left w:val="single" w:sz="8" w:color="CCEEFF"/>
            </w:tcBorders>
            <w:shd w:val="clear" w:color="auto" w:fill="CCEEFF"/>
          </w:tcPr>
          <w:p>
            <w:pPr>
              <w:spacing w:after="0"/>
              <w:rPr>
                <w:sz w:val="19"/>
                <w:szCs w:val="19"/>
                <w:color w:val="auto"/>
              </w:rPr>
            </w:pPr>
          </w:p>
        </w:tc>
        <w:tc>
          <w:tcPr>
            <w:tcW w:w="12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4"/>
                <w:shd w:val="clear" w:color="auto" w:fill="CCEEFF"/>
              </w:rPr>
              <w:t>%</w:t>
            </w:r>
          </w:p>
        </w:tc>
        <w:tc>
          <w:tcPr>
            <w:tcW w:w="1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shd w:val="clear" w:color="auto" w:fill="CCEEFF"/>
              </w:rPr>
              <w:t>%</w:t>
            </w:r>
          </w:p>
        </w:tc>
        <w:tc>
          <w:tcPr>
            <w:tcW w:w="0" w:type="dxa"/>
            <w:vAlign w:val="bottom"/>
          </w:tcPr>
          <w:p>
            <w:pPr>
              <w:spacing w:after="0"/>
              <w:rPr>
                <w:sz w:val="1"/>
                <w:szCs w:val="1"/>
                <w:color w:val="auto"/>
              </w:rPr>
            </w:pPr>
          </w:p>
        </w:tc>
      </w:tr>
      <w:tr>
        <w:trPr>
          <w:trHeight w:val="20"/>
        </w:trPr>
        <w:tc>
          <w:tcPr>
            <w:tcW w:w="3240" w:type="dxa"/>
            <w:vAlign w:val="bottom"/>
            <w:gridSpan w:val="2"/>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40" w:type="dxa"/>
            <w:vAlign w:val="bottom"/>
            <w:gridSpan w:val="2"/>
          </w:tcPr>
          <w:p>
            <w:pPr>
              <w:ind w:left="40"/>
              <w:spacing w:after="0"/>
              <w:rPr>
                <w:sz w:val="20"/>
                <w:szCs w:val="20"/>
                <w:color w:val="auto"/>
              </w:rPr>
            </w:pPr>
            <w:r>
              <w:rPr>
                <w:rFonts w:ascii="Arial" w:cs="Arial" w:eastAsia="Arial" w:hAnsi="Arial"/>
                <w:sz w:val="18"/>
                <w:szCs w:val="18"/>
                <w:color w:val="auto"/>
              </w:rPr>
              <w:t>Operating income (loss)</w:t>
            </w: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32.4</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9"/>
                <w:szCs w:val="19"/>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(0.5) %</w:t>
            </w:r>
          </w:p>
        </w:tc>
        <w:tc>
          <w:tcPr>
            <w:tcW w:w="40" w:type="dxa"/>
            <w:vAlign w:val="bottom"/>
          </w:tcPr>
          <w:p>
            <w:pPr>
              <w:spacing w:after="0"/>
              <w:rPr>
                <w:sz w:val="19"/>
                <w:szCs w:val="19"/>
                <w:color w:val="auto"/>
              </w:rPr>
            </w:pP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29.1</w:t>
            </w:r>
          </w:p>
        </w:tc>
        <w:tc>
          <w:tcPr>
            <w:tcW w:w="220" w:type="dxa"/>
            <w:vAlign w:val="bottom"/>
            <w:gridSpan w:val="3"/>
          </w:tcPr>
          <w:p>
            <w:pPr>
              <w:jc w:val="right"/>
              <w:ind w:right="4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(5.9) %</w:t>
            </w:r>
          </w:p>
        </w:tc>
        <w:tc>
          <w:tcPr>
            <w:tcW w:w="0" w:type="dxa"/>
            <w:vAlign w:val="bottom"/>
          </w:tcPr>
          <w:p>
            <w:pPr>
              <w:spacing w:after="0"/>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3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income, net</w:t>
            </w:r>
          </w:p>
        </w:tc>
        <w:tc>
          <w:tcPr>
            <w:tcW w:w="12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0.3</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shd w:val="clear" w:color="auto" w:fill="CCEEFF"/>
              </w:rPr>
              <w:t>%</w:t>
            </w:r>
          </w:p>
        </w:tc>
        <w:tc>
          <w:tcPr>
            <w:tcW w:w="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shd w:val="clear" w:color="auto" w:fill="CCEEFF"/>
              </w:rPr>
              <w:t>%</w:t>
            </w:r>
          </w:p>
        </w:tc>
        <w:tc>
          <w:tcPr>
            <w:tcW w:w="40" w:type="dxa"/>
            <w:vAlign w:val="bottom"/>
            <w:tcBorders>
              <w:left w:val="single" w:sz="8" w:color="CCEEFF"/>
            </w:tcBorders>
            <w:shd w:val="clear" w:color="auto" w:fill="CCEEFF"/>
          </w:tcPr>
          <w:p>
            <w:pPr>
              <w:spacing w:after="0"/>
              <w:rPr>
                <w:sz w:val="18"/>
                <w:szCs w:val="18"/>
                <w:color w:val="auto"/>
              </w:rPr>
            </w:pPr>
          </w:p>
        </w:tc>
        <w:tc>
          <w:tcPr>
            <w:tcW w:w="12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0.3</w:t>
            </w:r>
          </w:p>
        </w:tc>
        <w:tc>
          <w:tcPr>
            <w:tcW w:w="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4"/>
                <w:shd w:val="clear" w:color="auto" w:fill="CCEEFF"/>
              </w:rPr>
              <w:t>%</w:t>
            </w:r>
          </w:p>
        </w:tc>
        <w:tc>
          <w:tcPr>
            <w:tcW w:w="1340" w:type="dxa"/>
            <w:vAlign w:val="bottom"/>
            <w:tcBorders>
              <w:right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shd w:val="clear" w:color="auto" w:fill="CCEEFF"/>
              </w:rPr>
              <w:t>%</w:t>
            </w:r>
          </w:p>
        </w:tc>
        <w:tc>
          <w:tcPr>
            <w:tcW w:w="0" w:type="dxa"/>
            <w:vAlign w:val="bottom"/>
          </w:tcPr>
          <w:p>
            <w:pPr>
              <w:spacing w:after="0"/>
              <w:rPr>
                <w:sz w:val="1"/>
                <w:szCs w:val="1"/>
                <w:color w:val="auto"/>
              </w:rPr>
            </w:pPr>
          </w:p>
        </w:tc>
      </w:tr>
      <w:tr>
        <w:trPr>
          <w:trHeight w:val="20"/>
        </w:trPr>
        <w:tc>
          <w:tcPr>
            <w:tcW w:w="40" w:type="dxa"/>
            <w:vAlign w:val="bottom"/>
            <w:shd w:val="clear" w:color="auto" w:fill="CCEEFF"/>
          </w:tcPr>
          <w:p>
            <w:pPr>
              <w:spacing w:after="0" w:line="20" w:lineRule="exact"/>
              <w:rPr>
                <w:sz w:val="1"/>
                <w:szCs w:val="1"/>
                <w:color w:val="auto"/>
              </w:rPr>
            </w:pPr>
          </w:p>
        </w:tc>
        <w:tc>
          <w:tcPr>
            <w:tcW w:w="3200" w:type="dxa"/>
            <w:vAlign w:val="bottom"/>
            <w:tcBorders>
              <w:right w:val="single" w:sz="8" w:color="CCEEFF"/>
            </w:tcBorders>
            <w:shd w:val="clear" w:color="auto" w:fill="CCEEFF"/>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3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40" w:type="dxa"/>
            <w:vAlign w:val="bottom"/>
            <w:gridSpan w:val="2"/>
          </w:tcPr>
          <w:p>
            <w:pPr>
              <w:ind w:left="40"/>
              <w:spacing w:after="0"/>
              <w:rPr>
                <w:sz w:val="20"/>
                <w:szCs w:val="20"/>
                <w:color w:val="auto"/>
              </w:rPr>
            </w:pPr>
            <w:r>
              <w:rPr>
                <w:rFonts w:ascii="Arial" w:cs="Arial" w:eastAsia="Arial" w:hAnsi="Arial"/>
                <w:sz w:val="18"/>
                <w:szCs w:val="18"/>
                <w:color w:val="auto"/>
              </w:rPr>
              <w:t>Income (loss) before income taxes</w:t>
            </w: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32.7</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29.4</w:t>
            </w:r>
          </w:p>
        </w:tc>
        <w:tc>
          <w:tcPr>
            <w:tcW w:w="220" w:type="dxa"/>
            <w:vAlign w:val="bottom"/>
            <w:gridSpan w:val="3"/>
          </w:tcPr>
          <w:p>
            <w:pPr>
              <w:jc w:val="right"/>
              <w:ind w:right="4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(4.7) %</w:t>
            </w: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3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12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8.0</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shd w:val="clear" w:color="auto" w:fill="CCEEFF"/>
              </w:rPr>
              <w:t>%</w:t>
            </w:r>
          </w:p>
        </w:tc>
        <w:tc>
          <w:tcPr>
            <w:tcW w:w="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shd w:val="clear" w:color="auto" w:fill="CCEEFF"/>
              </w:rPr>
              <w:t>%</w:t>
            </w:r>
          </w:p>
        </w:tc>
        <w:tc>
          <w:tcPr>
            <w:tcW w:w="40" w:type="dxa"/>
            <w:vAlign w:val="bottom"/>
            <w:tcBorders>
              <w:left w:val="single" w:sz="8" w:color="CCEEFF"/>
            </w:tcBorders>
            <w:shd w:val="clear" w:color="auto" w:fill="CCEEFF"/>
          </w:tcPr>
          <w:p>
            <w:pPr>
              <w:spacing w:after="0"/>
              <w:rPr>
                <w:sz w:val="19"/>
                <w:szCs w:val="19"/>
                <w:color w:val="auto"/>
              </w:rPr>
            </w:pPr>
          </w:p>
        </w:tc>
        <w:tc>
          <w:tcPr>
            <w:tcW w:w="12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7.1</w:t>
            </w:r>
          </w:p>
        </w:tc>
        <w:tc>
          <w:tcPr>
            <w:tcW w:w="4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4"/>
                <w:shd w:val="clear" w:color="auto" w:fill="CCEEFF"/>
              </w:rPr>
              <w:t>%</w:t>
            </w:r>
          </w:p>
        </w:tc>
        <w:tc>
          <w:tcPr>
            <w:tcW w:w="1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shd w:val="clear" w:color="auto" w:fill="CCEEFF"/>
              </w:rPr>
              <w:t>%</w:t>
            </w:r>
          </w:p>
        </w:tc>
        <w:tc>
          <w:tcPr>
            <w:tcW w:w="0" w:type="dxa"/>
            <w:vAlign w:val="bottom"/>
          </w:tcPr>
          <w:p>
            <w:pPr>
              <w:spacing w:after="0"/>
              <w:rPr>
                <w:sz w:val="1"/>
                <w:szCs w:val="1"/>
                <w:color w:val="auto"/>
              </w:rPr>
            </w:pPr>
          </w:p>
        </w:tc>
      </w:tr>
      <w:tr>
        <w:trPr>
          <w:trHeight w:val="20"/>
        </w:trPr>
        <w:tc>
          <w:tcPr>
            <w:tcW w:w="3240" w:type="dxa"/>
            <w:vAlign w:val="bottom"/>
            <w:gridSpan w:val="2"/>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240" w:type="dxa"/>
            <w:vAlign w:val="bottom"/>
            <w:gridSpan w:val="2"/>
          </w:tcPr>
          <w:p>
            <w:pPr>
              <w:ind w:left="40"/>
              <w:spacing w:after="0"/>
              <w:rPr>
                <w:sz w:val="20"/>
                <w:szCs w:val="20"/>
                <w:color w:val="auto"/>
              </w:rPr>
            </w:pPr>
            <w:r>
              <w:rPr>
                <w:rFonts w:ascii="Arial" w:cs="Arial" w:eastAsia="Arial" w:hAnsi="Arial"/>
                <w:sz w:val="18"/>
                <w:szCs w:val="18"/>
                <w:color w:val="auto"/>
              </w:rPr>
              <w:t>Net income (loss)</w:t>
            </w: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24.7</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22.3</w:t>
            </w:r>
          </w:p>
        </w:tc>
        <w:tc>
          <w:tcPr>
            <w:tcW w:w="220" w:type="dxa"/>
            <w:vAlign w:val="bottom"/>
            <w:gridSpan w:val="3"/>
          </w:tcPr>
          <w:p>
            <w:pPr>
              <w:jc w:val="right"/>
              <w:ind w:right="4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NET SALES</w:t>
      </w:r>
    </w:p>
    <w:p>
      <w:pPr>
        <w:spacing w:after="0" w:line="212" w:lineRule="exact"/>
        <w:rPr>
          <w:sz w:val="20"/>
          <w:szCs w:val="20"/>
          <w:color w:val="auto"/>
        </w:rPr>
      </w:pPr>
    </w:p>
    <w:p>
      <w:pPr>
        <w:jc w:val="both"/>
        <w:ind w:right="40"/>
        <w:spacing w:after="0" w:line="276" w:lineRule="auto"/>
        <w:rPr>
          <w:sz w:val="20"/>
          <w:szCs w:val="20"/>
          <w:color w:val="auto"/>
        </w:rPr>
      </w:pPr>
      <w:r>
        <w:rPr>
          <w:rFonts w:ascii="Arial" w:cs="Arial" w:eastAsia="Arial" w:hAnsi="Arial"/>
          <w:sz w:val="18"/>
          <w:szCs w:val="18"/>
          <w:color w:val="auto"/>
        </w:rPr>
        <w:t>Total net sales for the second quarter of fiscal 2023 were a record $801.7 million compared to $381.7 million for the same period of fiscal 2022.</w:t>
      </w:r>
    </w:p>
    <w:p>
      <w:pPr>
        <w:spacing w:after="0" w:line="158"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Net shell egg sales represented 96.5% and 97.0% of total net sales for the second quarters of fiscal 2023 and 2022, respectively. Shell egg sales classified as “Other” represent sales of hard-cooked eggs and other miscellaneous byproducts included with our shell egg operations.</w:t>
      </w:r>
    </w:p>
    <w:p>
      <w:pPr>
        <w:spacing w:after="0" w:line="170"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Total net sales for the twenty-six weeks ended November 26, 2022 were $1.46 billion, compared to $706.7 million for the comparable period of fiscal 2022.</w:t>
      </w:r>
    </w:p>
    <w:p>
      <w:pPr>
        <w:spacing w:after="0" w:line="184"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Net shell egg sales represented 96.2% and 97.1% of total net sales for the twenty-six weeks ended November 26, 2022 and November 27, 2021, respectively.</w:t>
      </w:r>
    </w:p>
    <w:p>
      <w:pPr>
        <w:sectPr>
          <w:pgSz w:w="11900" w:h="16838" w:orient="portrait"/>
          <w:cols w:equalWidth="0" w:num="1">
            <w:col w:w="9280"/>
          </w:cols>
          <w:pgMar w:left="1320" w:top="315"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9280"/>
          </w:cols>
          <w:pgMar w:left="1320" w:top="315" w:right="1299" w:bottom="1440" w:gutter="0" w:footer="0" w:header="0"/>
          <w:type w:val="continuous"/>
        </w:sectPr>
      </w:pPr>
    </w:p>
    <w:bookmarkStart w:id="20" w:name="page21"/>
    <w:bookmarkEnd w:id="20"/>
    <w:p>
      <w:pPr>
        <w:jc w:val="center"/>
        <w:ind w:right="20"/>
        <w:spacing w:after="0"/>
        <w:rPr>
          <w:sz w:val="20"/>
          <w:szCs w:val="20"/>
          <w:color w:val="auto"/>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presents an analysis of our conventional and specialty shell egg sales (in thousands, except percentage data):</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8"/>
                <w:szCs w:val="18"/>
                <w:color w:val="auto"/>
                <w:w w:val="87"/>
              </w:rPr>
              <w:t>Thirteen Weeks Ended</w:t>
            </w:r>
          </w:p>
        </w:tc>
        <w:tc>
          <w:tcPr>
            <w:tcW w:w="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7"/>
          </w:tcPr>
          <w:p>
            <w:pPr>
              <w:jc w:val="right"/>
              <w:ind w:right="30"/>
              <w:spacing w:after="0"/>
              <w:rPr>
                <w:sz w:val="20"/>
                <w:szCs w:val="20"/>
                <w:color w:val="auto"/>
              </w:rPr>
            </w:pPr>
            <w:r>
              <w:rPr>
                <w:rFonts w:ascii="Arial" w:cs="Arial" w:eastAsia="Arial" w:hAnsi="Arial"/>
                <w:sz w:val="18"/>
                <w:szCs w:val="18"/>
                <w:color w:val="auto"/>
              </w:rPr>
              <w:t>Twenty-six Weeks Ended</w:t>
            </w:r>
          </w:p>
        </w:tc>
        <w:tc>
          <w:tcPr>
            <w:tcW w:w="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19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9"/>
              </w:rPr>
              <w:t>November 26, 2022</w:t>
            </w:r>
          </w:p>
        </w:tc>
        <w:tc>
          <w:tcPr>
            <w:tcW w:w="2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9"/>
              </w:rPr>
              <w:t>November 27, 2021</w:t>
            </w:r>
          </w:p>
        </w:tc>
        <w:tc>
          <w:tcPr>
            <w:tcW w:w="1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9"/>
              </w:rPr>
              <w:t>November 26, 2022</w:t>
            </w:r>
          </w:p>
        </w:tc>
        <w:tc>
          <w:tcPr>
            <w:tcW w:w="1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1"/>
              </w:rPr>
              <w:t>November 27, 2021</w:t>
            </w:r>
          </w:p>
        </w:tc>
        <w:tc>
          <w:tcPr>
            <w:tcW w:w="1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1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net sales</w:t>
            </w:r>
          </w:p>
        </w:tc>
        <w:tc>
          <w:tcPr>
            <w:tcW w:w="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shd w:val="clear" w:color="auto" w:fill="CCEEFF"/>
              </w:rPr>
              <w:t>$</w:t>
            </w:r>
          </w:p>
        </w:tc>
        <w:tc>
          <w:tcPr>
            <w:tcW w:w="86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801,700</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shd w:val="clear" w:color="auto" w:fill="CCEEFF"/>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381,723</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tcBorders>
              <w:right w:val="single" w:sz="8" w:color="CCEEFF"/>
            </w:tcBorders>
            <w:gridSpan w:val="2"/>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shd w:val="clear" w:color="auto" w:fill="CCEEFF"/>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2"/>
                <w:shd w:val="clear" w:color="auto" w:fill="CCEEFF"/>
              </w:rPr>
              <w:t>1,460,044</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shd w:val="clear" w:color="auto" w:fill="CCEEFF"/>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706,709</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1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gridSpan w:val="3"/>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gridSpan w:val="3"/>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gridSpan w:val="3"/>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gridSpan w:val="2"/>
          </w:tcPr>
          <w:p>
            <w:pPr>
              <w:spacing w:after="0"/>
              <w:rPr>
                <w:sz w:val="19"/>
                <w:szCs w:val="19"/>
                <w:color w:val="auto"/>
              </w:rPr>
            </w:pPr>
          </w:p>
        </w:tc>
      </w:tr>
      <w:tr>
        <w:trPr>
          <w:trHeight w:val="230"/>
        </w:trPr>
        <w:tc>
          <w:tcPr>
            <w:tcW w:w="1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Conventional</w:t>
            </w:r>
          </w:p>
        </w:tc>
        <w:tc>
          <w:tcPr>
            <w:tcW w:w="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shd w:val="clear" w:color="auto" w:fill="CCEEFF"/>
              </w:rPr>
              <w:t>$</w:t>
            </w:r>
          </w:p>
        </w:tc>
        <w:tc>
          <w:tcPr>
            <w:tcW w:w="86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541,917</w:t>
            </w:r>
          </w:p>
        </w:tc>
        <w:tc>
          <w:tcPr>
            <w:tcW w:w="4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70.1</w:t>
            </w:r>
          </w:p>
        </w:tc>
        <w:tc>
          <w:tcPr>
            <w:tcW w:w="28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shd w:val="clear" w:color="auto" w:fill="CCEEFF"/>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shd w:val="clear" w:color="auto" w:fill="CCEEFF"/>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221,142</w:t>
            </w:r>
          </w:p>
        </w:tc>
        <w:tc>
          <w:tcPr>
            <w:tcW w:w="4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59.7</w:t>
            </w:r>
          </w:p>
        </w:tc>
        <w:tc>
          <w:tcPr>
            <w:tcW w:w="260" w:type="dxa"/>
            <w:vAlign w:val="bottom"/>
            <w:tcBorders>
              <w:right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shd w:val="clear" w:color="auto" w:fill="CCEEFF"/>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967,506</w:t>
            </w:r>
          </w:p>
        </w:tc>
        <w:tc>
          <w:tcPr>
            <w:tcW w:w="4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69.0</w:t>
            </w:r>
          </w:p>
        </w:tc>
        <w:tc>
          <w:tcPr>
            <w:tcW w:w="26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shd w:val="clear" w:color="auto" w:fill="CCEEFF"/>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shd w:val="clear" w:color="auto" w:fill="CCEEFF"/>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403,172</w:t>
            </w:r>
          </w:p>
        </w:tc>
        <w:tc>
          <w:tcPr>
            <w:tcW w:w="4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58.8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shd w:val="clear" w:color="auto" w:fill="CCEEFF"/>
              </w:rPr>
              <w:t>%</w:t>
            </w:r>
          </w:p>
        </w:tc>
        <w:tc>
          <w:tcPr>
            <w:tcW w:w="20" w:type="dxa"/>
            <w:vAlign w:val="bottom"/>
          </w:tcPr>
          <w:p>
            <w:pPr>
              <w:spacing w:after="0"/>
              <w:rPr>
                <w:sz w:val="19"/>
                <w:szCs w:val="19"/>
                <w:color w:val="auto"/>
              </w:rPr>
            </w:pPr>
          </w:p>
        </w:tc>
      </w:tr>
      <w:tr>
        <w:trPr>
          <w:trHeight w:val="229"/>
        </w:trPr>
        <w:tc>
          <w:tcPr>
            <w:tcW w:w="1940" w:type="dxa"/>
            <w:vAlign w:val="bottom"/>
          </w:tcPr>
          <w:p>
            <w:pPr>
              <w:ind w:left="40"/>
              <w:spacing w:after="0"/>
              <w:rPr>
                <w:sz w:val="20"/>
                <w:szCs w:val="20"/>
                <w:color w:val="auto"/>
              </w:rPr>
            </w:pPr>
            <w:r>
              <w:rPr>
                <w:rFonts w:ascii="Arial" w:cs="Arial" w:eastAsia="Arial" w:hAnsi="Arial"/>
                <w:sz w:val="18"/>
                <w:szCs w:val="18"/>
                <w:color w:val="auto"/>
              </w:rPr>
              <w:t>Specialty</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227,778</w:t>
            </w:r>
          </w:p>
        </w:tc>
        <w:tc>
          <w:tcPr>
            <w:tcW w:w="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29.4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146,917</w:t>
            </w:r>
          </w:p>
        </w:tc>
        <w:tc>
          <w:tcPr>
            <w:tcW w:w="40" w:type="dxa"/>
            <w:vAlign w:val="bottom"/>
          </w:tcPr>
          <w:p>
            <w:pPr>
              <w:spacing w:after="0"/>
              <w:rPr>
                <w:sz w:val="19"/>
                <w:szCs w:val="19"/>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39.7</w:t>
            </w:r>
          </w:p>
        </w:tc>
        <w:tc>
          <w:tcPr>
            <w:tcW w:w="2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428,598</w:t>
            </w:r>
          </w:p>
        </w:tc>
        <w:tc>
          <w:tcPr>
            <w:tcW w:w="580" w:type="dxa"/>
            <w:vAlign w:val="bottom"/>
            <w:gridSpan w:val="2"/>
          </w:tcPr>
          <w:p>
            <w:pPr>
              <w:jc w:val="right"/>
              <w:ind w:right="10"/>
              <w:spacing w:after="0"/>
              <w:rPr>
                <w:sz w:val="20"/>
                <w:szCs w:val="20"/>
                <w:color w:val="auto"/>
              </w:rPr>
            </w:pPr>
            <w:r>
              <w:rPr>
                <w:rFonts w:ascii="Arial" w:cs="Arial" w:eastAsia="Arial" w:hAnsi="Arial"/>
                <w:sz w:val="18"/>
                <w:szCs w:val="18"/>
                <w:color w:val="auto"/>
              </w:rPr>
              <w:t>30.5</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279,375</w:t>
            </w:r>
          </w:p>
        </w:tc>
        <w:tc>
          <w:tcPr>
            <w:tcW w:w="600" w:type="dxa"/>
            <w:vAlign w:val="bottom"/>
            <w:gridSpan w:val="2"/>
          </w:tcPr>
          <w:p>
            <w:pPr>
              <w:jc w:val="right"/>
              <w:ind w:right="30"/>
              <w:spacing w:after="0"/>
              <w:rPr>
                <w:sz w:val="20"/>
                <w:szCs w:val="20"/>
                <w:color w:val="auto"/>
              </w:rPr>
            </w:pPr>
            <w:r>
              <w:rPr>
                <w:rFonts w:ascii="Arial" w:cs="Arial" w:eastAsia="Arial" w:hAnsi="Arial"/>
                <w:sz w:val="18"/>
                <w:szCs w:val="18"/>
                <w:color w:val="auto"/>
              </w:rPr>
              <w:t>40.7</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w:t>
            </w:r>
          </w:p>
        </w:tc>
      </w:tr>
      <w:tr>
        <w:trPr>
          <w:trHeight w:val="209"/>
        </w:trPr>
        <w:tc>
          <w:tcPr>
            <w:tcW w:w="19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Egg sales, net</w:t>
            </w: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769,695</w:t>
            </w:r>
          </w:p>
        </w:tc>
        <w:tc>
          <w:tcPr>
            <w:tcW w:w="4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99.5</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w:t>
            </w: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368,059</w:t>
            </w:r>
          </w:p>
        </w:tc>
        <w:tc>
          <w:tcPr>
            <w:tcW w:w="4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99.4</w:t>
            </w:r>
          </w:p>
        </w:tc>
        <w:tc>
          <w:tcPr>
            <w:tcW w:w="1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74"/>
                <w:shd w:val="clear" w:color="auto" w:fill="CCEEFF"/>
              </w:rPr>
              <w:t>%</w:t>
            </w:r>
          </w:p>
        </w:tc>
        <w:tc>
          <w:tcPr>
            <w:tcW w:w="8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2"/>
                <w:shd w:val="clear" w:color="auto" w:fill="CCEEFF"/>
              </w:rPr>
              <w:t>1,396,104</w:t>
            </w:r>
          </w:p>
        </w:tc>
        <w:tc>
          <w:tcPr>
            <w:tcW w:w="4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99.5</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shd w:val="clear" w:color="auto" w:fill="CCEEFF"/>
              </w:rPr>
              <w:t>%</w:t>
            </w: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682,547</w:t>
            </w:r>
          </w:p>
        </w:tc>
        <w:tc>
          <w:tcPr>
            <w:tcW w:w="4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99.5</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shd w:val="clear" w:color="auto" w:fill="CCEEFF"/>
              </w:rPr>
              <w:t>%</w:t>
            </w:r>
          </w:p>
        </w:tc>
        <w:tc>
          <w:tcPr>
            <w:tcW w:w="20" w:type="dxa"/>
            <w:vAlign w:val="bottom"/>
          </w:tcPr>
          <w:p>
            <w:pPr>
              <w:spacing w:after="0"/>
              <w:rPr>
                <w:sz w:val="18"/>
                <w:szCs w:val="18"/>
                <w:color w:val="auto"/>
              </w:rPr>
            </w:pPr>
          </w:p>
        </w:tc>
      </w:tr>
      <w:tr>
        <w:trPr>
          <w:trHeight w:val="230"/>
        </w:trPr>
        <w:tc>
          <w:tcPr>
            <w:tcW w:w="1940" w:type="dxa"/>
            <w:vAlign w:val="bottom"/>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3,953</w:t>
            </w:r>
          </w:p>
        </w:tc>
        <w:tc>
          <w:tcPr>
            <w:tcW w:w="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2,263</w:t>
            </w:r>
          </w:p>
        </w:tc>
        <w:tc>
          <w:tcPr>
            <w:tcW w:w="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0.6</w:t>
            </w:r>
          </w:p>
        </w:tc>
        <w:tc>
          <w:tcPr>
            <w:tcW w:w="2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8,248</w:t>
            </w:r>
          </w:p>
        </w:tc>
        <w:tc>
          <w:tcPr>
            <w:tcW w:w="580" w:type="dxa"/>
            <w:vAlign w:val="bottom"/>
            <w:gridSpan w:val="2"/>
          </w:tcPr>
          <w:p>
            <w:pPr>
              <w:jc w:val="right"/>
              <w:ind w:right="10"/>
              <w:spacing w:after="0"/>
              <w:rPr>
                <w:sz w:val="20"/>
                <w:szCs w:val="20"/>
                <w:color w:val="auto"/>
              </w:rPr>
            </w:pPr>
            <w:r>
              <w:rPr>
                <w:rFonts w:ascii="Arial" w:cs="Arial" w:eastAsia="Arial" w:hAnsi="Arial"/>
                <w:sz w:val="18"/>
                <w:szCs w:val="18"/>
                <w:color w:val="auto"/>
              </w:rPr>
              <w:t>0.6</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3,395</w:t>
            </w:r>
          </w:p>
        </w:tc>
        <w:tc>
          <w:tcPr>
            <w:tcW w:w="600" w:type="dxa"/>
            <w:vAlign w:val="bottom"/>
            <w:gridSpan w:val="2"/>
          </w:tcPr>
          <w:p>
            <w:pPr>
              <w:jc w:val="right"/>
              <w:ind w:right="30"/>
              <w:spacing w:after="0"/>
              <w:rPr>
                <w:sz w:val="20"/>
                <w:szCs w:val="20"/>
                <w:color w:val="auto"/>
              </w:rPr>
            </w:pPr>
            <w:r>
              <w:rPr>
                <w:rFonts w:ascii="Arial" w:cs="Arial" w:eastAsia="Arial" w:hAnsi="Arial"/>
                <w:sz w:val="18"/>
                <w:szCs w:val="18"/>
                <w:color w:val="auto"/>
              </w:rPr>
              <w:t>0.5</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w:t>
            </w:r>
          </w:p>
        </w:tc>
      </w:tr>
      <w:tr>
        <w:trPr>
          <w:trHeight w:val="20"/>
        </w:trPr>
        <w:tc>
          <w:tcPr>
            <w:tcW w:w="19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shell egg sales</w:t>
            </w:r>
          </w:p>
        </w:tc>
        <w:tc>
          <w:tcPr>
            <w:tcW w:w="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shd w:val="clear" w:color="auto" w:fill="CCEEFF"/>
              </w:rPr>
              <w:t>$</w:t>
            </w:r>
          </w:p>
        </w:tc>
        <w:tc>
          <w:tcPr>
            <w:tcW w:w="86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773,648</w:t>
            </w:r>
          </w:p>
        </w:tc>
        <w:tc>
          <w:tcPr>
            <w:tcW w:w="4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3"/>
                <w:shd w:val="clear" w:color="auto" w:fill="CCEEFF"/>
              </w:rPr>
              <w:t>100.0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w:t>
            </w:r>
          </w:p>
        </w:tc>
        <w:tc>
          <w:tcPr>
            <w:tcW w:w="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shd w:val="clear" w:color="auto" w:fill="CCEEFF"/>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370,322</w:t>
            </w:r>
          </w:p>
        </w:tc>
        <w:tc>
          <w:tcPr>
            <w:tcW w:w="4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3"/>
                <w:shd w:val="clear" w:color="auto" w:fill="CCEEFF"/>
              </w:rPr>
              <w:t>100.0</w:t>
            </w:r>
          </w:p>
        </w:tc>
        <w:tc>
          <w:tcPr>
            <w:tcW w:w="260" w:type="dxa"/>
            <w:vAlign w:val="bottom"/>
            <w:tcBorders>
              <w:right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shd w:val="clear" w:color="auto" w:fill="CCEEFF"/>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2"/>
                <w:shd w:val="clear" w:color="auto" w:fill="CCEEFF"/>
              </w:rPr>
              <w:t>1,404,352</w:t>
            </w:r>
          </w:p>
        </w:tc>
        <w:tc>
          <w:tcPr>
            <w:tcW w:w="4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3"/>
                <w:shd w:val="clear" w:color="auto" w:fill="CCEEFF"/>
              </w:rPr>
              <w:t>100.1</w:t>
            </w:r>
          </w:p>
        </w:tc>
        <w:tc>
          <w:tcPr>
            <w:tcW w:w="26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shd w:val="clear" w:color="auto" w:fill="CCEEFF"/>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shd w:val="clear" w:color="auto" w:fill="CCEEFF"/>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685,942</w:t>
            </w:r>
          </w:p>
        </w:tc>
        <w:tc>
          <w:tcPr>
            <w:tcW w:w="4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3"/>
                <w:shd w:val="clear" w:color="auto" w:fill="CCEEFF"/>
              </w:rPr>
              <w:t>100.0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shd w:val="clear" w:color="auto" w:fill="CCEEFF"/>
              </w:rPr>
              <w:t>%</w:t>
            </w:r>
          </w:p>
        </w:tc>
        <w:tc>
          <w:tcPr>
            <w:tcW w:w="20" w:type="dxa"/>
            <w:vAlign w:val="bottom"/>
          </w:tcPr>
          <w:p>
            <w:pPr>
              <w:spacing w:after="0"/>
              <w:rPr>
                <w:sz w:val="19"/>
                <w:szCs w:val="19"/>
                <w:color w:val="auto"/>
              </w:rPr>
            </w:pPr>
          </w:p>
        </w:tc>
      </w:tr>
      <w:tr>
        <w:trPr>
          <w:trHeight w:val="20"/>
        </w:trPr>
        <w:tc>
          <w:tcPr>
            <w:tcW w:w="19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57"/>
        </w:trPr>
        <w:tc>
          <w:tcPr>
            <w:tcW w:w="19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Net shell egg sales as a</w:t>
            </w:r>
          </w:p>
        </w:tc>
        <w:tc>
          <w:tcPr>
            <w:tcW w:w="160" w:type="dxa"/>
            <w:vAlign w:val="bottom"/>
            <w:shd w:val="clear" w:color="auto" w:fill="CCEEFF"/>
          </w:tcPr>
          <w:p>
            <w:pPr>
              <w:spacing w:after="0"/>
              <w:rPr>
                <w:sz w:val="22"/>
                <w:szCs w:val="22"/>
                <w:color w:val="auto"/>
              </w:rPr>
            </w:pPr>
          </w:p>
        </w:tc>
        <w:tc>
          <w:tcPr>
            <w:tcW w:w="860" w:type="dxa"/>
            <w:vAlign w:val="bottom"/>
            <w:tcBorders>
              <w:right w:val="single" w:sz="8" w:color="CCEEFF"/>
            </w:tcBorders>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0" w:type="dxa"/>
            <w:vAlign w:val="bottom"/>
            <w:tcBorders>
              <w:right w:val="single" w:sz="8" w:color="CCEEFF"/>
            </w:tcBorders>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203"/>
        </w:trPr>
        <w:tc>
          <w:tcPr>
            <w:tcW w:w="19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w w:val="95"/>
              </w:rPr>
              <w:t>percent of total net sales</w:t>
            </w:r>
          </w:p>
        </w:tc>
        <w:tc>
          <w:tcPr>
            <w:tcW w:w="16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96.5</w:t>
            </w: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w w:val="87"/>
              </w:rPr>
              <w:t>%</w:t>
            </w:r>
          </w:p>
        </w:tc>
        <w:tc>
          <w:tcPr>
            <w:tcW w:w="20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97.0</w:t>
            </w: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w w:val="74"/>
              </w:rPr>
              <w:t>%</w:t>
            </w:r>
          </w:p>
        </w:tc>
        <w:tc>
          <w:tcPr>
            <w:tcW w:w="18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96.2</w:t>
            </w: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w w:val="74"/>
              </w:rPr>
              <w:t>%</w:t>
            </w:r>
          </w:p>
        </w:tc>
        <w:tc>
          <w:tcPr>
            <w:tcW w:w="18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97.1</w:t>
            </w:r>
          </w:p>
        </w:tc>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330"/>
              <w:spacing w:after="0" w:line="202" w:lineRule="exact"/>
              <w:rPr>
                <w:sz w:val="20"/>
                <w:szCs w:val="20"/>
                <w:color w:val="auto"/>
              </w:rPr>
            </w:pPr>
            <w:r>
              <w:rPr>
                <w:rFonts w:ascii="Arial" w:cs="Arial" w:eastAsia="Arial" w:hAnsi="Arial"/>
                <w:sz w:val="18"/>
                <w:szCs w:val="18"/>
                <w:color w:val="auto"/>
                <w:w w:val="74"/>
              </w:rPr>
              <w:t>%</w:t>
            </w:r>
          </w:p>
        </w:tc>
        <w:tc>
          <w:tcPr>
            <w:tcW w:w="1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29"/>
        </w:trPr>
        <w:tc>
          <w:tcPr>
            <w:tcW w:w="1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1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Dozens sold:</w:t>
            </w:r>
          </w:p>
        </w:tc>
        <w:tc>
          <w:tcPr>
            <w:tcW w:w="160" w:type="dxa"/>
            <w:vAlign w:val="bottom"/>
            <w:shd w:val="clear" w:color="auto" w:fill="CCEEFF"/>
          </w:tcPr>
          <w:p>
            <w:pPr>
              <w:spacing w:after="0"/>
              <w:rPr>
                <w:sz w:val="19"/>
                <w:szCs w:val="19"/>
                <w:color w:val="auto"/>
              </w:rPr>
            </w:pPr>
          </w:p>
        </w:tc>
        <w:tc>
          <w:tcPr>
            <w:tcW w:w="860" w:type="dxa"/>
            <w:vAlign w:val="bottom"/>
            <w:tcBorders>
              <w:right w:val="single" w:sz="8" w:color="CCEEFF"/>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1940" w:type="dxa"/>
            <w:vAlign w:val="bottom"/>
          </w:tcPr>
          <w:p>
            <w:pPr>
              <w:ind w:left="40"/>
              <w:spacing w:after="0"/>
              <w:rPr>
                <w:sz w:val="20"/>
                <w:szCs w:val="20"/>
                <w:color w:val="auto"/>
              </w:rPr>
            </w:pPr>
            <w:r>
              <w:rPr>
                <w:rFonts w:ascii="Arial" w:cs="Arial" w:eastAsia="Arial" w:hAnsi="Arial"/>
                <w:sz w:val="18"/>
                <w:szCs w:val="18"/>
                <w:color w:val="auto"/>
              </w:rPr>
              <w:t>Conventional</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187,976</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66.2</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192,135</w:t>
            </w:r>
          </w:p>
        </w:tc>
        <w:tc>
          <w:tcPr>
            <w:tcW w:w="580" w:type="dxa"/>
            <w:vAlign w:val="bottom"/>
            <w:gridSpan w:val="2"/>
          </w:tcPr>
          <w:p>
            <w:pPr>
              <w:jc w:val="right"/>
              <w:ind w:right="10"/>
              <w:spacing w:after="0"/>
              <w:rPr>
                <w:sz w:val="20"/>
                <w:szCs w:val="20"/>
                <w:color w:val="auto"/>
              </w:rPr>
            </w:pPr>
            <w:r>
              <w:rPr>
                <w:rFonts w:ascii="Arial" w:cs="Arial" w:eastAsia="Arial" w:hAnsi="Arial"/>
                <w:sz w:val="18"/>
                <w:szCs w:val="18"/>
                <w:color w:val="auto"/>
              </w:rPr>
              <w:t>71.3</w:t>
            </w:r>
          </w:p>
        </w:tc>
        <w:tc>
          <w:tcPr>
            <w:tcW w:w="2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367,688</w:t>
            </w:r>
          </w:p>
        </w:tc>
        <w:tc>
          <w:tcPr>
            <w:tcW w:w="580" w:type="dxa"/>
            <w:vAlign w:val="bottom"/>
            <w:gridSpan w:val="2"/>
          </w:tcPr>
          <w:p>
            <w:pPr>
              <w:jc w:val="right"/>
              <w:ind w:right="10"/>
              <w:spacing w:after="0"/>
              <w:rPr>
                <w:sz w:val="20"/>
                <w:szCs w:val="20"/>
                <w:color w:val="auto"/>
              </w:rPr>
            </w:pPr>
            <w:r>
              <w:rPr>
                <w:rFonts w:ascii="Arial" w:cs="Arial" w:eastAsia="Arial" w:hAnsi="Arial"/>
                <w:sz w:val="18"/>
                <w:szCs w:val="18"/>
                <w:color w:val="auto"/>
              </w:rPr>
              <w:t>65.7</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376,003</w:t>
            </w:r>
          </w:p>
        </w:tc>
        <w:tc>
          <w:tcPr>
            <w:tcW w:w="600" w:type="dxa"/>
            <w:vAlign w:val="bottom"/>
            <w:gridSpan w:val="2"/>
          </w:tcPr>
          <w:p>
            <w:pPr>
              <w:jc w:val="right"/>
              <w:ind w:right="30"/>
              <w:spacing w:after="0"/>
              <w:rPr>
                <w:sz w:val="20"/>
                <w:szCs w:val="20"/>
                <w:color w:val="auto"/>
              </w:rPr>
            </w:pPr>
            <w:r>
              <w:rPr>
                <w:rFonts w:ascii="Arial" w:cs="Arial" w:eastAsia="Arial" w:hAnsi="Arial"/>
                <w:sz w:val="18"/>
                <w:szCs w:val="18"/>
                <w:color w:val="auto"/>
              </w:rPr>
              <w:t>71.7</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w:t>
            </w:r>
          </w:p>
        </w:tc>
      </w:tr>
      <w:tr>
        <w:trPr>
          <w:trHeight w:val="216"/>
        </w:trPr>
        <w:tc>
          <w:tcPr>
            <w:tcW w:w="1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Specialty</w:t>
            </w: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96,110</w:t>
            </w:r>
          </w:p>
        </w:tc>
        <w:tc>
          <w:tcPr>
            <w:tcW w:w="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w:t>
            </w:r>
          </w:p>
        </w:tc>
        <w:tc>
          <w:tcPr>
            <w:tcW w:w="80" w:type="dxa"/>
            <w:vAlign w:val="bottom"/>
            <w:tcBorders>
              <w:bottom w:val="single" w:sz="8" w:color="CCEEFF"/>
              <w:right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77,420</w:t>
            </w:r>
          </w:p>
        </w:tc>
        <w:tc>
          <w:tcPr>
            <w:tcW w:w="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28.7</w:t>
            </w:r>
          </w:p>
        </w:tc>
        <w:tc>
          <w:tcPr>
            <w:tcW w:w="1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74"/>
                <w:shd w:val="clear" w:color="auto" w:fill="CCEEFF"/>
              </w:rPr>
              <w:t>%</w:t>
            </w:r>
          </w:p>
        </w:tc>
        <w:tc>
          <w:tcPr>
            <w:tcW w:w="80" w:type="dxa"/>
            <w:vAlign w:val="bottom"/>
            <w:tcBorders>
              <w:bottom w:val="single" w:sz="8" w:color="CCEEFF"/>
              <w:right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191,715</w:t>
            </w:r>
          </w:p>
        </w:tc>
        <w:tc>
          <w:tcPr>
            <w:tcW w:w="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shd w:val="clear" w:color="auto" w:fill="CCEEFF"/>
              </w:rPr>
              <w:t>%</w:t>
            </w:r>
          </w:p>
        </w:tc>
        <w:tc>
          <w:tcPr>
            <w:tcW w:w="80" w:type="dxa"/>
            <w:vAlign w:val="bottom"/>
            <w:tcBorders>
              <w:bottom w:val="single" w:sz="8" w:color="CCEEFF"/>
              <w:right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148,171</w:t>
            </w:r>
          </w:p>
        </w:tc>
        <w:tc>
          <w:tcPr>
            <w:tcW w:w="4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shd w:val="clear" w:color="auto" w:fill="CCEEFF"/>
              </w:rPr>
              <w:t>%</w:t>
            </w:r>
          </w:p>
        </w:tc>
        <w:tc>
          <w:tcPr>
            <w:tcW w:w="20" w:type="dxa"/>
            <w:vAlign w:val="bottom"/>
          </w:tcPr>
          <w:p>
            <w:pPr>
              <w:spacing w:after="0"/>
              <w:rPr>
                <w:sz w:val="18"/>
                <w:szCs w:val="18"/>
                <w:color w:val="auto"/>
              </w:rPr>
            </w:pPr>
          </w:p>
        </w:tc>
      </w:tr>
      <w:tr>
        <w:trPr>
          <w:trHeight w:val="263"/>
        </w:trPr>
        <w:tc>
          <w:tcPr>
            <w:tcW w:w="1940" w:type="dxa"/>
            <w:vAlign w:val="bottom"/>
          </w:tcPr>
          <w:p>
            <w:pPr>
              <w:ind w:left="40"/>
              <w:spacing w:after="0"/>
              <w:rPr>
                <w:sz w:val="20"/>
                <w:szCs w:val="20"/>
                <w:color w:val="auto"/>
              </w:rPr>
            </w:pPr>
            <w:r>
              <w:rPr>
                <w:rFonts w:ascii="Arial" w:cs="Arial" w:eastAsia="Arial" w:hAnsi="Arial"/>
                <w:sz w:val="18"/>
                <w:szCs w:val="18"/>
                <w:color w:val="auto"/>
              </w:rPr>
              <w:t>Total dozens sold</w:t>
            </w: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284,086</w:t>
            </w:r>
          </w:p>
        </w:tc>
        <w:tc>
          <w:tcPr>
            <w:tcW w:w="580" w:type="dxa"/>
            <w:vAlign w:val="bottom"/>
            <w:gridSpan w:val="2"/>
          </w:tcPr>
          <w:p>
            <w:pPr>
              <w:jc w:val="right"/>
              <w:ind w:right="10"/>
              <w:spacing w:after="0"/>
              <w:rPr>
                <w:sz w:val="20"/>
                <w:szCs w:val="20"/>
                <w:color w:val="auto"/>
              </w:rPr>
            </w:pPr>
            <w:r>
              <w:rPr>
                <w:rFonts w:ascii="Arial" w:cs="Arial" w:eastAsia="Arial" w:hAnsi="Arial"/>
                <w:sz w:val="18"/>
                <w:szCs w:val="18"/>
                <w:color w:val="auto"/>
              </w:rPr>
              <w:t>100.0</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269,555</w:t>
            </w:r>
          </w:p>
        </w:tc>
        <w:tc>
          <w:tcPr>
            <w:tcW w:w="580" w:type="dxa"/>
            <w:vAlign w:val="bottom"/>
            <w:gridSpan w:val="2"/>
          </w:tcPr>
          <w:p>
            <w:pPr>
              <w:jc w:val="right"/>
              <w:ind w:right="10"/>
              <w:spacing w:after="0"/>
              <w:rPr>
                <w:sz w:val="20"/>
                <w:szCs w:val="20"/>
                <w:color w:val="auto"/>
              </w:rPr>
            </w:pPr>
            <w:r>
              <w:rPr>
                <w:rFonts w:ascii="Arial" w:cs="Arial" w:eastAsia="Arial" w:hAnsi="Arial"/>
                <w:sz w:val="18"/>
                <w:szCs w:val="18"/>
                <w:color w:val="auto"/>
              </w:rPr>
              <w:t>100.0</w:t>
            </w:r>
          </w:p>
        </w:tc>
        <w:tc>
          <w:tcPr>
            <w:tcW w:w="2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559,403</w:t>
            </w:r>
          </w:p>
        </w:tc>
        <w:tc>
          <w:tcPr>
            <w:tcW w:w="580" w:type="dxa"/>
            <w:vAlign w:val="bottom"/>
            <w:gridSpan w:val="2"/>
          </w:tcPr>
          <w:p>
            <w:pPr>
              <w:jc w:val="right"/>
              <w:ind w:right="10"/>
              <w:spacing w:after="0"/>
              <w:rPr>
                <w:sz w:val="20"/>
                <w:szCs w:val="20"/>
                <w:color w:val="auto"/>
              </w:rPr>
            </w:pPr>
            <w:r>
              <w:rPr>
                <w:rFonts w:ascii="Arial" w:cs="Arial" w:eastAsia="Arial" w:hAnsi="Arial"/>
                <w:sz w:val="18"/>
                <w:szCs w:val="18"/>
                <w:color w:val="auto"/>
              </w:rPr>
              <w:t>100.0</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2"/>
                <w:szCs w:val="22"/>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524,174</w:t>
            </w:r>
          </w:p>
        </w:tc>
        <w:tc>
          <w:tcPr>
            <w:tcW w:w="600" w:type="dxa"/>
            <w:vAlign w:val="bottom"/>
            <w:gridSpan w:val="2"/>
          </w:tcPr>
          <w:p>
            <w:pPr>
              <w:jc w:val="right"/>
              <w:ind w:right="30"/>
              <w:spacing w:after="0"/>
              <w:rPr>
                <w:sz w:val="20"/>
                <w:szCs w:val="20"/>
                <w:color w:val="auto"/>
              </w:rPr>
            </w:pPr>
            <w:r>
              <w:rPr>
                <w:rFonts w:ascii="Arial" w:cs="Arial" w:eastAsia="Arial" w:hAnsi="Arial"/>
                <w:sz w:val="18"/>
                <w:szCs w:val="18"/>
                <w:color w:val="auto"/>
              </w:rPr>
              <w:t>100.0</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w:t>
            </w:r>
          </w:p>
        </w:tc>
      </w:tr>
      <w:tr>
        <w:trPr>
          <w:trHeight w:val="183"/>
        </w:trPr>
        <w:tc>
          <w:tcPr>
            <w:tcW w:w="19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right w:val="single" w:sz="8" w:color="CCEEFF"/>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0" w:type="dxa"/>
            <w:vAlign w:val="bottom"/>
            <w:tcBorders>
              <w:right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0" w:type="dxa"/>
            <w:vAlign w:val="bottom"/>
            <w:tcBorders>
              <w:right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0" w:type="dxa"/>
            <w:vAlign w:val="bottom"/>
            <w:tcBorders>
              <w:right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43"/>
        </w:trPr>
        <w:tc>
          <w:tcPr>
            <w:tcW w:w="1940" w:type="dxa"/>
            <w:vAlign w:val="bottom"/>
          </w:tcPr>
          <w:p>
            <w:pPr>
              <w:ind w:left="40"/>
              <w:spacing w:after="0"/>
              <w:rPr>
                <w:sz w:val="20"/>
                <w:szCs w:val="20"/>
                <w:color w:val="auto"/>
              </w:rPr>
            </w:pPr>
            <w:r>
              <w:rPr>
                <w:rFonts w:ascii="Arial" w:cs="Arial" w:eastAsia="Arial" w:hAnsi="Arial"/>
                <w:sz w:val="18"/>
                <w:szCs w:val="18"/>
                <w:color w:val="auto"/>
                <w:w w:val="94"/>
              </w:rPr>
              <w:t>Net average selling price</w:t>
            </w: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6"/>
        </w:trPr>
        <w:tc>
          <w:tcPr>
            <w:tcW w:w="1940" w:type="dxa"/>
            <w:vAlign w:val="bottom"/>
          </w:tcPr>
          <w:p>
            <w:pPr>
              <w:ind w:left="40"/>
              <w:spacing w:after="0"/>
              <w:rPr>
                <w:sz w:val="20"/>
                <w:szCs w:val="20"/>
                <w:color w:val="auto"/>
              </w:rPr>
            </w:pPr>
            <w:r>
              <w:rPr>
                <w:rFonts w:ascii="Arial" w:cs="Arial" w:eastAsia="Arial" w:hAnsi="Arial"/>
                <w:sz w:val="18"/>
                <w:szCs w:val="18"/>
                <w:color w:val="auto"/>
              </w:rPr>
              <w:t>per dozen:</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1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Conventional</w:t>
            </w:r>
          </w:p>
        </w:tc>
        <w:tc>
          <w:tcPr>
            <w:tcW w:w="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shd w:val="clear" w:color="auto" w:fill="CCEEFF"/>
              </w:rPr>
              <w:t>$</w:t>
            </w:r>
          </w:p>
        </w:tc>
        <w:tc>
          <w:tcPr>
            <w:tcW w:w="86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2.883</w:t>
            </w:r>
          </w:p>
        </w:tc>
        <w:tc>
          <w:tcPr>
            <w:tcW w:w="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80" w:type="dxa"/>
            <w:vAlign w:val="bottom"/>
            <w:tcBorders>
              <w:right w:val="single" w:sz="8" w:color="CCEEFF"/>
            </w:tcBorders>
            <w:gridSpan w:val="2"/>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shd w:val="clear" w:color="auto" w:fill="CCEEFF"/>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1.151</w:t>
            </w:r>
          </w:p>
        </w:tc>
        <w:tc>
          <w:tcPr>
            <w:tcW w:w="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60" w:type="dxa"/>
            <w:vAlign w:val="bottom"/>
            <w:tcBorders>
              <w:right w:val="single" w:sz="8" w:color="CCEEFF"/>
            </w:tcBorders>
            <w:gridSpan w:val="2"/>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shd w:val="clear" w:color="auto" w:fill="CCEEFF"/>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2.631</w:t>
            </w:r>
          </w:p>
        </w:tc>
        <w:tc>
          <w:tcPr>
            <w:tcW w:w="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60" w:type="dxa"/>
            <w:vAlign w:val="bottom"/>
            <w:tcBorders>
              <w:right w:val="single" w:sz="8" w:color="CCEEFF"/>
            </w:tcBorders>
            <w:gridSpan w:val="2"/>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shd w:val="clear" w:color="auto" w:fill="CCEEFF"/>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1.072</w:t>
            </w:r>
          </w:p>
        </w:tc>
        <w:tc>
          <w:tcPr>
            <w:tcW w:w="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1940" w:type="dxa"/>
            <w:vAlign w:val="bottom"/>
          </w:tcPr>
          <w:p>
            <w:pPr>
              <w:ind w:left="40"/>
              <w:spacing w:after="0"/>
              <w:rPr>
                <w:sz w:val="20"/>
                <w:szCs w:val="20"/>
                <w:color w:val="auto"/>
              </w:rPr>
            </w:pPr>
            <w:r>
              <w:rPr>
                <w:rFonts w:ascii="Arial" w:cs="Arial" w:eastAsia="Arial" w:hAnsi="Arial"/>
                <w:sz w:val="18"/>
                <w:szCs w:val="18"/>
                <w:color w:val="auto"/>
              </w:rPr>
              <w:t>Specialty</w:t>
            </w: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2.370</w:t>
            </w:r>
          </w:p>
        </w:tc>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1.898</w:t>
            </w:r>
          </w:p>
        </w:tc>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0" w:type="dxa"/>
            <w:vAlign w:val="bottom"/>
            <w:gridSpan w:val="3"/>
          </w:tcPr>
          <w:p>
            <w:pPr>
              <w:ind w:left="28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2.236</w:t>
            </w:r>
          </w:p>
        </w:tc>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80" w:type="dxa"/>
            <w:vAlign w:val="bottom"/>
            <w:gridSpan w:val="3"/>
          </w:tcPr>
          <w:p>
            <w:pPr>
              <w:ind w:left="26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1.885</w:t>
            </w:r>
          </w:p>
        </w:tc>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30"/>
        </w:trPr>
        <w:tc>
          <w:tcPr>
            <w:tcW w:w="1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All shell eggs</w:t>
            </w:r>
          </w:p>
        </w:tc>
        <w:tc>
          <w:tcPr>
            <w:tcW w:w="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shd w:val="clear" w:color="auto" w:fill="CCEEFF"/>
              </w:rPr>
              <w:t>$</w:t>
            </w:r>
          </w:p>
        </w:tc>
        <w:tc>
          <w:tcPr>
            <w:tcW w:w="86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2.709</w:t>
            </w:r>
          </w:p>
        </w:tc>
        <w:tc>
          <w:tcPr>
            <w:tcW w:w="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80" w:type="dxa"/>
            <w:vAlign w:val="bottom"/>
            <w:tcBorders>
              <w:right w:val="single" w:sz="8" w:color="CCEEFF"/>
            </w:tcBorders>
            <w:gridSpan w:val="2"/>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shd w:val="clear" w:color="auto" w:fill="CCEEFF"/>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1.365</w:t>
            </w:r>
          </w:p>
        </w:tc>
        <w:tc>
          <w:tcPr>
            <w:tcW w:w="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60" w:type="dxa"/>
            <w:vAlign w:val="bottom"/>
            <w:tcBorders>
              <w:right w:val="single" w:sz="8" w:color="CCEEFF"/>
            </w:tcBorders>
            <w:gridSpan w:val="2"/>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shd w:val="clear" w:color="auto" w:fill="CCEEFF"/>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2.496</w:t>
            </w:r>
          </w:p>
        </w:tc>
        <w:tc>
          <w:tcPr>
            <w:tcW w:w="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60" w:type="dxa"/>
            <w:vAlign w:val="bottom"/>
            <w:tcBorders>
              <w:right w:val="single" w:sz="8" w:color="CCEEFF"/>
            </w:tcBorders>
            <w:gridSpan w:val="2"/>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shd w:val="clear" w:color="auto" w:fill="CCEEFF"/>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1.302</w:t>
            </w:r>
          </w:p>
        </w:tc>
        <w:tc>
          <w:tcPr>
            <w:tcW w:w="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1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1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Egg products sales:</w:t>
            </w:r>
          </w:p>
        </w:tc>
        <w:tc>
          <w:tcPr>
            <w:tcW w:w="160" w:type="dxa"/>
            <w:vAlign w:val="bottom"/>
            <w:shd w:val="clear" w:color="auto" w:fill="CCEEFF"/>
          </w:tcPr>
          <w:p>
            <w:pPr>
              <w:spacing w:after="0"/>
              <w:rPr>
                <w:sz w:val="19"/>
                <w:szCs w:val="19"/>
                <w:color w:val="auto"/>
              </w:rPr>
            </w:pPr>
          </w:p>
        </w:tc>
        <w:tc>
          <w:tcPr>
            <w:tcW w:w="860" w:type="dxa"/>
            <w:vAlign w:val="bottom"/>
            <w:tcBorders>
              <w:right w:val="single" w:sz="8" w:color="CCEEFF"/>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1940" w:type="dxa"/>
            <w:vAlign w:val="bottom"/>
          </w:tcPr>
          <w:p>
            <w:pPr>
              <w:ind w:left="40"/>
              <w:spacing w:after="0"/>
              <w:rPr>
                <w:sz w:val="20"/>
                <w:szCs w:val="20"/>
                <w:color w:val="auto"/>
              </w:rPr>
            </w:pPr>
            <w:r>
              <w:rPr>
                <w:rFonts w:ascii="Arial" w:cs="Arial" w:eastAsia="Arial" w:hAnsi="Arial"/>
                <w:sz w:val="18"/>
                <w:szCs w:val="18"/>
                <w:color w:val="auto"/>
              </w:rPr>
              <w:t>Egg products net sales</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28,052</w:t>
            </w:r>
          </w:p>
        </w:tc>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11,401</w:t>
            </w:r>
          </w:p>
        </w:tc>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55,692</w:t>
            </w:r>
          </w:p>
        </w:tc>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20,767</w:t>
            </w:r>
          </w:p>
        </w:tc>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30"/>
        </w:trPr>
        <w:tc>
          <w:tcPr>
            <w:tcW w:w="1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Pounds sold</w:t>
            </w:r>
          </w:p>
        </w:tc>
        <w:tc>
          <w:tcPr>
            <w:tcW w:w="160" w:type="dxa"/>
            <w:vAlign w:val="bottom"/>
            <w:shd w:val="clear" w:color="auto" w:fill="CCEEFF"/>
          </w:tcPr>
          <w:p>
            <w:pPr>
              <w:spacing w:after="0"/>
              <w:rPr>
                <w:sz w:val="19"/>
                <w:szCs w:val="19"/>
                <w:color w:val="auto"/>
              </w:rPr>
            </w:pPr>
          </w:p>
        </w:tc>
        <w:tc>
          <w:tcPr>
            <w:tcW w:w="86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15,702</w:t>
            </w:r>
          </w:p>
        </w:tc>
        <w:tc>
          <w:tcPr>
            <w:tcW w:w="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16,009</w:t>
            </w:r>
          </w:p>
        </w:tc>
        <w:tc>
          <w:tcPr>
            <w:tcW w:w="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32,204</w:t>
            </w:r>
          </w:p>
        </w:tc>
        <w:tc>
          <w:tcPr>
            <w:tcW w:w="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31,278</w:t>
            </w:r>
          </w:p>
        </w:tc>
        <w:tc>
          <w:tcPr>
            <w:tcW w:w="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1940" w:type="dxa"/>
            <w:vAlign w:val="bottom"/>
          </w:tcPr>
          <w:p>
            <w:pPr>
              <w:ind w:left="40"/>
              <w:spacing w:after="0"/>
              <w:rPr>
                <w:sz w:val="20"/>
                <w:szCs w:val="20"/>
                <w:color w:val="auto"/>
              </w:rPr>
            </w:pPr>
            <w:r>
              <w:rPr>
                <w:rFonts w:ascii="Arial" w:cs="Arial" w:eastAsia="Arial" w:hAnsi="Arial"/>
                <w:sz w:val="18"/>
                <w:szCs w:val="18"/>
                <w:color w:val="auto"/>
                <w:w w:val="94"/>
              </w:rPr>
              <w:t>Net average selling price</w:t>
            </w: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30"/>
        </w:trPr>
        <w:tc>
          <w:tcPr>
            <w:tcW w:w="1940" w:type="dxa"/>
            <w:vAlign w:val="bottom"/>
          </w:tcPr>
          <w:p>
            <w:pPr>
              <w:ind w:left="40"/>
              <w:spacing w:after="0"/>
              <w:rPr>
                <w:sz w:val="20"/>
                <w:szCs w:val="20"/>
                <w:color w:val="auto"/>
              </w:rPr>
            </w:pPr>
            <w:r>
              <w:rPr>
                <w:rFonts w:ascii="Arial" w:cs="Arial" w:eastAsia="Arial" w:hAnsi="Arial"/>
                <w:sz w:val="18"/>
                <w:szCs w:val="18"/>
                <w:color w:val="auto"/>
              </w:rPr>
              <w:t>per pound</w:t>
            </w:r>
          </w:p>
        </w:tc>
        <w:tc>
          <w:tcPr>
            <w:tcW w:w="16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1.787</w:t>
            </w: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0.712</w:t>
            </w: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1.729</w:t>
            </w: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0.664</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Shell egg net sales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Second Quarter – Fiscal 2023 vs. Fiscal 2022</w:t>
      </w:r>
    </w:p>
    <w:p>
      <w:pPr>
        <w:spacing w:after="0" w:line="12" w:lineRule="exact"/>
        <w:rPr>
          <w:sz w:val="20"/>
          <w:szCs w:val="20"/>
          <w:color w:val="auto"/>
        </w:rPr>
      </w:pPr>
    </w:p>
    <w:p>
      <w:pPr>
        <w:jc w:val="both"/>
        <w:ind w:left="660" w:right="60" w:hanging="329"/>
        <w:spacing w:after="0" w:line="267"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 the second quarter of fiscal 2023, conventional egg sales increased $320.8 million, or 145.0%, compared to the second quarter of fiscal 2022, primarily due to the increase in the prices for conventional shell eggs, slightly offset by a decrease in volume of conventional shell eggs sold. Changes in prices resulted in a $325.6 million increase and the change in volume resulted in a $4.8 million decrease in net sales, respectively.</w:t>
      </w:r>
    </w:p>
    <w:p>
      <w:pPr>
        <w:spacing w:after="0" w:line="126" w:lineRule="exact"/>
        <w:rPr>
          <w:rFonts w:ascii="Arial" w:cs="Arial" w:eastAsia="Arial" w:hAnsi="Arial"/>
          <w:sz w:val="17"/>
          <w:szCs w:val="17"/>
          <w:color w:val="auto"/>
        </w:rPr>
      </w:pPr>
    </w:p>
    <w:p>
      <w:pPr>
        <w:jc w:val="both"/>
        <w:ind w:left="660" w:right="20" w:hanging="329"/>
        <w:spacing w:after="0" w:line="24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Conventional egg prices increased in the second quarter of fiscal 2023 primarily due to decreased supply caused by the HPAI outbreak, discussed above, while we experienced continued good customer demand (and typical seasonal consumer demand).</w:t>
      </w:r>
    </w:p>
    <w:p>
      <w:pPr>
        <w:spacing w:after="0" w:line="143" w:lineRule="exact"/>
        <w:rPr>
          <w:rFonts w:ascii="Arial" w:cs="Arial" w:eastAsia="Arial" w:hAnsi="Arial"/>
          <w:sz w:val="18"/>
          <w:szCs w:val="18"/>
          <w:color w:val="auto"/>
        </w:rPr>
      </w:pPr>
    </w:p>
    <w:p>
      <w:pPr>
        <w:ind w:left="660" w:right="40" w:hanging="329"/>
        <w:spacing w:after="0" w:line="245"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 a result of the independently quoted wholesale market prices for conventional eggs reaching near-record highs, the average selling price for conventional eggs exceeded the average selling price for specialty eggs in the second quarter of fiscal 2023, which has occurred for the past three quarters but is atypical historically. Conventional egg prices generally respond more quickly to market conditions as we sell the majority of our conventional shell eggs based on formulas that adjust periodically and take into account, in varying ways, independently quoted regional wholesale market prices for shell eggs or formulas related to our costs of production. The majority of our specialty eggs are typically sold at prices and terms negotiated directly with customers and therefore do not fluctuate as much as conventional pricing.</w:t>
      </w:r>
    </w:p>
    <w:p>
      <w:pPr>
        <w:spacing w:after="0" w:line="145" w:lineRule="exact"/>
        <w:rPr>
          <w:rFonts w:ascii="Arial" w:cs="Arial" w:eastAsia="Arial" w:hAnsi="Arial"/>
          <w:sz w:val="18"/>
          <w:szCs w:val="18"/>
          <w:color w:val="auto"/>
        </w:rPr>
      </w:pPr>
    </w:p>
    <w:p>
      <w:pPr>
        <w:ind w:left="660" w:hanging="329"/>
        <w:spacing w:after="0" w:line="24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Specialty egg sales increased $80.9 million, or 55.0%, in the second quarter of fiscal 2023 compared to the second quarter of fiscal 2022, primarily due to a 24.9% increase in the prices for specialty eggs, which resulted in a $45.4 million increase in net sales and a 24.1% increase in the volume of specialty eggs sold, which resulted in a $35.5 million increase in net sales.</w:t>
      </w:r>
    </w:p>
    <w:p>
      <w:pPr>
        <w:sectPr>
          <w:pgSz w:w="11900" w:h="16838" w:orient="portrait"/>
          <w:cols w:equalWidth="0" w:num="1">
            <w:col w:w="9280"/>
          </w:cols>
          <w:pgMar w:left="1320" w:top="315" w:right="1299" w:bottom="1440" w:gutter="0" w:footer="0" w:header="0"/>
        </w:sectPr>
      </w:pPr>
    </w:p>
    <w:p>
      <w:pPr>
        <w:spacing w:after="0" w:line="200" w:lineRule="exact"/>
        <w:rPr>
          <w:sz w:val="20"/>
          <w:szCs w:val="20"/>
          <w:color w:val="auto"/>
        </w:rPr>
      </w:pPr>
    </w:p>
    <w:p>
      <w:pPr>
        <w:spacing w:after="0" w:line="37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9280"/>
          </w:cols>
          <w:pgMar w:left="1320" w:top="315" w:right="1299" w:bottom="1440" w:gutter="0" w:footer="0" w:header="0"/>
          <w:type w:val="continuous"/>
        </w:sectPr>
      </w:pPr>
    </w:p>
    <w:bookmarkStart w:id="21" w:name="page22"/>
    <w:bookmarkEnd w:id="21"/>
    <w:p>
      <w:pPr>
        <w:jc w:val="center"/>
        <w:ind w:right="80"/>
        <w:spacing w:after="0"/>
        <w:rPr>
          <w:sz w:val="20"/>
          <w:szCs w:val="20"/>
          <w:color w:val="auto"/>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82" w:lineRule="exact"/>
        <w:rPr>
          <w:sz w:val="20"/>
          <w:szCs w:val="20"/>
          <w:color w:val="auto"/>
        </w:rPr>
      </w:pPr>
    </w:p>
    <w:p>
      <w:pPr>
        <w:ind w:left="660" w:right="80" w:hanging="329"/>
        <w:spacing w:after="0" w:line="276"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Net average selling price of specialty eggs increased in response to rising feed and other input costs as well as current market conditions due to HPAI.</w:t>
      </w:r>
    </w:p>
    <w:p>
      <w:pPr>
        <w:spacing w:after="0" w:line="117" w:lineRule="exact"/>
        <w:rPr>
          <w:rFonts w:ascii="Arial" w:cs="Arial" w:eastAsia="Arial" w:hAnsi="Arial"/>
          <w:sz w:val="18"/>
          <w:szCs w:val="18"/>
          <w:color w:val="auto"/>
        </w:rPr>
      </w:pPr>
    </w:p>
    <w:p>
      <w:pPr>
        <w:jc w:val="both"/>
        <w:ind w:left="660" w:right="100" w:hanging="329"/>
        <w:spacing w:after="0" w:line="255"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Demand for specialty eggs increased as conventional egg prices rose. Our sales volume benefited as we produced 11% more specialty eggs in the second quarter of fiscal 2023 versus the prior-year period, through use of our higher cage-free production capacity and better utilization of that capacity.</w:t>
      </w:r>
    </w:p>
    <w:p>
      <w:pPr>
        <w:spacing w:after="0" w:line="123" w:lineRule="exact"/>
        <w:rPr>
          <w:rFonts w:ascii="Arial" w:cs="Arial" w:eastAsia="Arial" w:hAnsi="Arial"/>
          <w:sz w:val="18"/>
          <w:szCs w:val="18"/>
          <w:color w:val="auto"/>
        </w:rPr>
      </w:pPr>
    </w:p>
    <w:p>
      <w:pPr>
        <w:ind w:left="660" w:hanging="329"/>
        <w:spacing w:after="0" w:line="266"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Cage-free egg sales for the second quarter of fiscal 2023 represented 18.2% of our total net shell egg sales versus 22.4% for the same prior year period due to the higher conventional egg prices. Cage-free dozens sold increased</w:t>
      </w:r>
    </w:p>
    <w:p>
      <w:pPr>
        <w:spacing w:after="0" w:line="1"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47.4% in the second quarter of fiscal 2023 as compared to the second quarter of fiscal 2022.</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Twenty-six weeks – Fiscal 2023 vs. Fiscal 2022</w:t>
      </w:r>
    </w:p>
    <w:p>
      <w:pPr>
        <w:spacing w:after="0" w:line="12" w:lineRule="exact"/>
        <w:rPr>
          <w:sz w:val="20"/>
          <w:szCs w:val="20"/>
          <w:color w:val="auto"/>
        </w:rPr>
      </w:pPr>
    </w:p>
    <w:p>
      <w:pPr>
        <w:jc w:val="both"/>
        <w:ind w:left="660" w:right="60" w:hanging="329"/>
        <w:spacing w:after="0" w:line="261"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For the twenty-six weeks ended November 26, 2022, conventional egg sales increased $564.3 million or 140.0% compared to the same period of fiscal 2022, primarily due to the increase in the prices for conventional shell eggs, slightly offset by the decrease in the volume of conventional eggs sold. Changes in prices resulted in a $573.2 million increase and the change in volume resulted in a $9.0 million decrease in net sales, respectively.</w:t>
      </w:r>
    </w:p>
    <w:p>
      <w:pPr>
        <w:spacing w:after="0" w:line="132" w:lineRule="exact"/>
        <w:rPr>
          <w:rFonts w:ascii="Arial" w:cs="Arial" w:eastAsia="Arial" w:hAnsi="Arial"/>
          <w:sz w:val="17"/>
          <w:szCs w:val="17"/>
          <w:color w:val="auto"/>
        </w:rPr>
      </w:pPr>
    </w:p>
    <w:p>
      <w:pPr>
        <w:jc w:val="both"/>
        <w:ind w:left="660" w:right="100" w:hanging="329"/>
        <w:spacing w:after="0" w:line="245"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Specialty egg sales increased $149.2 million, or 53.4%, for the twenty-six weeks ended November 26, 2022 compared to the same period of fiscal 2022, primarily due to a 29.4% increase in the volume of specialty dozens sold. The volume of specialty dozens sold increased mainly due to the higher conventional egg prices. Change in volume resulted in a $82.1 million increase and changes in specialty egg price resulted in a $67.3 million increase in net sales,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Egg products net sales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Second Quarter – Fiscal 2023 vs. Fiscal 2022</w:t>
      </w:r>
    </w:p>
    <w:p>
      <w:pPr>
        <w:spacing w:after="0" w:line="23" w:lineRule="exact"/>
        <w:rPr>
          <w:sz w:val="20"/>
          <w:szCs w:val="20"/>
          <w:color w:val="auto"/>
        </w:rPr>
      </w:pPr>
    </w:p>
    <w:p>
      <w:pPr>
        <w:jc w:val="both"/>
        <w:ind w:left="660" w:right="80" w:hanging="329"/>
        <w:spacing w:after="0" w:line="24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Egg products net sales increased $16.7 million or 146.0% for the second quarter of fiscal 2023 compared to the same period of fiscal 2022, primarily due to a 151.0% selling price increase, which had a $16.9 million positive impact on net sales.</w:t>
      </w:r>
    </w:p>
    <w:p>
      <w:pPr>
        <w:spacing w:after="0" w:line="143" w:lineRule="exact"/>
        <w:rPr>
          <w:rFonts w:ascii="Arial" w:cs="Arial" w:eastAsia="Arial" w:hAnsi="Arial"/>
          <w:sz w:val="18"/>
          <w:szCs w:val="18"/>
          <w:color w:val="auto"/>
        </w:rPr>
      </w:pPr>
    </w:p>
    <w:p>
      <w:pPr>
        <w:ind w:left="660" w:right="40" w:hanging="329"/>
        <w:spacing w:after="0" w:line="255"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egg products net average selling price increased in the second quarter of fiscal 2023, compared to the second quarter of fiscal 2022 as the supply of shell eggs used to produce egg products decreased due to the HPAI outbreak that started in February 2022.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Twenty-six weeks – Fiscal 2023 vs. Fiscal 2022</w:t>
      </w:r>
    </w:p>
    <w:p>
      <w:pPr>
        <w:spacing w:after="0" w:line="12" w:lineRule="exact"/>
        <w:rPr>
          <w:sz w:val="20"/>
          <w:szCs w:val="20"/>
          <w:color w:val="auto"/>
        </w:rPr>
      </w:pPr>
    </w:p>
    <w:p>
      <w:pPr>
        <w:ind w:left="660" w:right="80" w:hanging="329"/>
        <w:spacing w:after="0" w:line="287"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Egg products net sales increased $34.9 million or 168.2%, primarily due to a 160.4% selling price increase compared to the first twenty-six weeks of fiscal 2022, which had a $34.3 million positive impact on net sales.</w:t>
      </w:r>
    </w:p>
    <w:p>
      <w:pPr>
        <w:spacing w:after="0" w:line="123" w:lineRule="exact"/>
        <w:rPr>
          <w:rFonts w:ascii="Arial" w:cs="Arial" w:eastAsia="Arial" w:hAnsi="Arial"/>
          <w:sz w:val="17"/>
          <w:szCs w:val="17"/>
          <w:color w:val="auto"/>
        </w:rPr>
      </w:pPr>
    </w:p>
    <w:p>
      <w:pPr>
        <w:jc w:val="both"/>
        <w:ind w:left="660" w:right="80" w:hanging="329"/>
        <w:spacing w:after="0" w:line="242" w:lineRule="auto"/>
        <w:tabs>
          <w:tab w:leader="none" w:pos="660" w:val="left"/>
        </w:tabs>
        <w:numPr>
          <w:ilvl w:val="0"/>
          <w:numId w:val="9"/>
        </w:numPr>
        <w:rPr>
          <w:rFonts w:ascii="Arial" w:cs="Arial" w:eastAsia="Arial" w:hAnsi="Arial"/>
          <w:sz w:val="20"/>
          <w:szCs w:val="20"/>
          <w:color w:val="auto"/>
        </w:rPr>
      </w:pPr>
      <w:r>
        <w:rPr>
          <w:rFonts w:ascii="Arial" w:cs="Arial" w:eastAsia="Arial" w:hAnsi="Arial"/>
          <w:sz w:val="18"/>
          <w:szCs w:val="18"/>
          <w:color w:val="auto"/>
        </w:rPr>
        <w:t>Our egg products net average selling price increased in the twenty-six weeks ended November 26, 2022, compared to the same period in fiscal 2022 as the supply of shell eggs used to produce egg products decreased due to the HPAI outbreak that started in February 2022.</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COST OF SALES</w:t>
      </w:r>
    </w:p>
    <w:p>
      <w:pPr>
        <w:spacing w:after="0" w:line="212" w:lineRule="exact"/>
        <w:rPr>
          <w:sz w:val="20"/>
          <w:szCs w:val="20"/>
          <w:color w:val="auto"/>
        </w:rPr>
      </w:pPr>
    </w:p>
    <w:p>
      <w:pPr>
        <w:ind w:right="60"/>
        <w:spacing w:after="0" w:line="276" w:lineRule="auto"/>
        <w:rPr>
          <w:sz w:val="20"/>
          <w:szCs w:val="20"/>
          <w:color w:val="auto"/>
        </w:rPr>
      </w:pPr>
      <w:r>
        <w:rPr>
          <w:rFonts w:ascii="Arial" w:cs="Arial" w:eastAsia="Arial" w:hAnsi="Arial"/>
          <w:sz w:val="18"/>
          <w:szCs w:val="18"/>
          <w:color w:val="auto"/>
        </w:rPr>
        <w:t>Costs of sales for the second quarter of fiscal 2023 were $483.9 million compared to $338.0 million for the same period of fiscal 2022.</w:t>
      </w:r>
    </w:p>
    <w:p>
      <w:pPr>
        <w:spacing w:after="0" w:line="172" w:lineRule="exact"/>
        <w:rPr>
          <w:sz w:val="20"/>
          <w:szCs w:val="20"/>
          <w:color w:val="auto"/>
        </w:rPr>
      </w:pPr>
    </w:p>
    <w:p>
      <w:pPr>
        <w:jc w:val="both"/>
        <w:ind w:right="80"/>
        <w:spacing w:after="0" w:line="248" w:lineRule="auto"/>
        <w:rPr>
          <w:sz w:val="20"/>
          <w:szCs w:val="20"/>
          <w:color w:val="auto"/>
        </w:rPr>
      </w:pPr>
      <w:r>
        <w:rPr>
          <w:rFonts w:ascii="Arial" w:cs="Arial" w:eastAsia="Arial" w:hAnsi="Arial"/>
          <w:sz w:val="18"/>
          <w:szCs w:val="18"/>
          <w:color w:val="auto"/>
        </w:rPr>
        <w:t>Cost of sales consists of costs directly related to producing, processing and packing shell eggs, purchases of shell eggs from outside producers, processing and packing of liquid and frozen egg products and other non-egg costs. Farm production costs are those costs incurred at the egg production facility, including feed, facility, hen amortization and other related farm production costs.</w:t>
      </w:r>
    </w:p>
    <w:p>
      <w:pPr>
        <w:sectPr>
          <w:pgSz w:w="11900" w:h="16838" w:orient="portrait"/>
          <w:cols w:equalWidth="0" w:num="1">
            <w:col w:w="9320"/>
          </w:cols>
          <w:pgMar w:left="1320" w:top="315"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9320"/>
          </w:cols>
          <w:pgMar w:left="1320" w:top="315" w:right="1259" w:bottom="1440" w:gutter="0" w:footer="0" w:header="0"/>
          <w:type w:val="continuous"/>
        </w:sectPr>
      </w:pPr>
    </w:p>
    <w:bookmarkStart w:id="22" w:name="page23"/>
    <w:bookmarkEnd w:id="22"/>
    <w:p>
      <w:pPr>
        <w:jc w:val="center"/>
        <w:ind w:right="20"/>
        <w:spacing w:after="0"/>
        <w:rPr>
          <w:sz w:val="20"/>
          <w:szCs w:val="20"/>
          <w:color w:val="auto"/>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key variables affecting our cost of sales (in thousands, except cost per dozen data):</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8"/>
                <w:szCs w:val="18"/>
                <w:color w:val="auto"/>
              </w:rPr>
              <w:t>Thirteen Weeks Ended</w:t>
            </w:r>
          </w:p>
        </w:tc>
        <w:tc>
          <w:tcPr>
            <w:tcW w:w="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color w:val="auto"/>
              </w:rPr>
              <w:t>Twenty-six Weeks Ended</w:t>
            </w:r>
          </w:p>
        </w:tc>
        <w:tc>
          <w:tcPr>
            <w:tcW w:w="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ind w:right="110"/>
              <w:spacing w:after="0" w:line="195" w:lineRule="exact"/>
              <w:rPr>
                <w:sz w:val="20"/>
                <w:szCs w:val="20"/>
                <w:color w:val="auto"/>
              </w:rPr>
            </w:pPr>
            <w:r>
              <w:rPr>
                <w:rFonts w:ascii="Arial" w:cs="Arial" w:eastAsia="Arial" w:hAnsi="Arial"/>
                <w:sz w:val="18"/>
                <w:szCs w:val="18"/>
                <w:color w:val="auto"/>
                <w:w w:val="90"/>
              </w:rPr>
              <w:t>November 26,</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ind w:right="110"/>
              <w:spacing w:after="0" w:line="195" w:lineRule="exact"/>
              <w:rPr>
                <w:sz w:val="20"/>
                <w:szCs w:val="20"/>
                <w:color w:val="auto"/>
              </w:rPr>
            </w:pPr>
            <w:r>
              <w:rPr>
                <w:rFonts w:ascii="Arial" w:cs="Arial" w:eastAsia="Arial" w:hAnsi="Arial"/>
                <w:sz w:val="18"/>
                <w:szCs w:val="18"/>
                <w:color w:val="auto"/>
                <w:w w:val="90"/>
              </w:rPr>
              <w:t>November 27,</w:t>
            </w:r>
          </w:p>
        </w:tc>
        <w:tc>
          <w:tcPr>
            <w:tcW w:w="56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ind w:right="130"/>
              <w:spacing w:after="0" w:line="195" w:lineRule="exact"/>
              <w:rPr>
                <w:sz w:val="20"/>
                <w:szCs w:val="20"/>
                <w:color w:val="auto"/>
              </w:rPr>
            </w:pPr>
            <w:r>
              <w:rPr>
                <w:rFonts w:ascii="Arial" w:cs="Arial" w:eastAsia="Arial" w:hAnsi="Arial"/>
                <w:sz w:val="18"/>
                <w:szCs w:val="18"/>
                <w:color w:val="auto"/>
                <w:w w:val="90"/>
              </w:rPr>
              <w:t>November 26,</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ind w:right="130"/>
              <w:spacing w:after="0" w:line="195" w:lineRule="exact"/>
              <w:rPr>
                <w:sz w:val="20"/>
                <w:szCs w:val="20"/>
                <w:color w:val="auto"/>
              </w:rPr>
            </w:pPr>
            <w:r>
              <w:rPr>
                <w:rFonts w:ascii="Arial" w:cs="Arial" w:eastAsia="Arial" w:hAnsi="Arial"/>
                <w:sz w:val="18"/>
                <w:szCs w:val="18"/>
                <w:color w:val="auto"/>
                <w:w w:val="90"/>
              </w:rPr>
              <w:t>November 27,</w:t>
            </w:r>
          </w:p>
        </w:tc>
        <w:tc>
          <w:tcPr>
            <w:tcW w:w="54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ind w:right="430"/>
              <w:spacing w:after="0" w:line="203" w:lineRule="exact"/>
              <w:rPr>
                <w:sz w:val="20"/>
                <w:szCs w:val="20"/>
                <w:color w:val="auto"/>
              </w:rPr>
            </w:pPr>
            <w:r>
              <w:rPr>
                <w:rFonts w:ascii="Arial" w:cs="Arial" w:eastAsia="Arial" w:hAnsi="Arial"/>
                <w:sz w:val="18"/>
                <w:szCs w:val="18"/>
                <w:color w:val="auto"/>
              </w:rPr>
              <w:t>2022</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ind w:right="430"/>
              <w:spacing w:after="0" w:line="203" w:lineRule="exact"/>
              <w:rPr>
                <w:sz w:val="20"/>
                <w:szCs w:val="20"/>
                <w:color w:val="auto"/>
              </w:rPr>
            </w:pPr>
            <w:r>
              <w:rPr>
                <w:rFonts w:ascii="Arial" w:cs="Arial" w:eastAsia="Arial" w:hAnsi="Arial"/>
                <w:sz w:val="18"/>
                <w:szCs w:val="18"/>
                <w:color w:val="auto"/>
              </w:rPr>
              <w:t>2021</w:t>
            </w:r>
          </w:p>
        </w:tc>
        <w:tc>
          <w:tcPr>
            <w:tcW w:w="40" w:type="dxa"/>
            <w:vAlign w:val="bottom"/>
          </w:tcPr>
          <w:p>
            <w:pPr>
              <w:spacing w:after="0"/>
              <w:rPr>
                <w:sz w:val="19"/>
                <w:szCs w:val="19"/>
                <w:color w:val="auto"/>
              </w:rPr>
            </w:pPr>
          </w:p>
        </w:tc>
        <w:tc>
          <w:tcPr>
            <w:tcW w:w="940" w:type="dxa"/>
            <w:vAlign w:val="bottom"/>
            <w:gridSpan w:val="5"/>
          </w:tcPr>
          <w:p>
            <w:pPr>
              <w:jc w:val="right"/>
              <w:ind w:right="227"/>
              <w:spacing w:after="0" w:line="203" w:lineRule="exact"/>
              <w:rPr>
                <w:sz w:val="20"/>
                <w:szCs w:val="20"/>
                <w:color w:val="auto"/>
              </w:rPr>
            </w:pPr>
            <w:r>
              <w:rPr>
                <w:rFonts w:ascii="Arial" w:cs="Arial" w:eastAsia="Arial" w:hAnsi="Arial"/>
                <w:sz w:val="18"/>
                <w:szCs w:val="18"/>
                <w:color w:val="auto"/>
                <w:w w:val="98"/>
              </w:rPr>
              <w:t>Change</w:t>
            </w:r>
          </w:p>
        </w:tc>
        <w:tc>
          <w:tcPr>
            <w:tcW w:w="1260" w:type="dxa"/>
            <w:vAlign w:val="bottom"/>
          </w:tcPr>
          <w:p>
            <w:pPr>
              <w:jc w:val="right"/>
              <w:ind w:right="450"/>
              <w:spacing w:after="0" w:line="203" w:lineRule="exact"/>
              <w:rPr>
                <w:sz w:val="20"/>
                <w:szCs w:val="20"/>
                <w:color w:val="auto"/>
              </w:rPr>
            </w:pPr>
            <w:r>
              <w:rPr>
                <w:rFonts w:ascii="Arial" w:cs="Arial" w:eastAsia="Arial" w:hAnsi="Arial"/>
                <w:sz w:val="18"/>
                <w:szCs w:val="18"/>
                <w:color w:val="auto"/>
              </w:rPr>
              <w:t>2022</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ind w:right="450"/>
              <w:spacing w:after="0" w:line="203" w:lineRule="exact"/>
              <w:rPr>
                <w:sz w:val="20"/>
                <w:szCs w:val="20"/>
                <w:color w:val="auto"/>
              </w:rPr>
            </w:pPr>
            <w:r>
              <w:rPr>
                <w:rFonts w:ascii="Arial" w:cs="Arial" w:eastAsia="Arial" w:hAnsi="Arial"/>
                <w:sz w:val="18"/>
                <w:szCs w:val="18"/>
                <w:color w:val="auto"/>
              </w:rPr>
              <w:t>2021</w:t>
            </w:r>
          </w:p>
        </w:tc>
        <w:tc>
          <w:tcPr>
            <w:tcW w:w="40" w:type="dxa"/>
            <w:vAlign w:val="bottom"/>
          </w:tcPr>
          <w:p>
            <w:pPr>
              <w:spacing w:after="0"/>
              <w:rPr>
                <w:sz w:val="19"/>
                <w:szCs w:val="19"/>
                <w:color w:val="auto"/>
              </w:rPr>
            </w:pPr>
          </w:p>
        </w:tc>
        <w:tc>
          <w:tcPr>
            <w:tcW w:w="740" w:type="dxa"/>
            <w:vAlign w:val="bottom"/>
            <w:gridSpan w:val="3"/>
          </w:tcPr>
          <w:p>
            <w:pPr>
              <w:jc w:val="right"/>
              <w:ind w:right="100"/>
              <w:spacing w:after="0" w:line="203" w:lineRule="exact"/>
              <w:rPr>
                <w:sz w:val="20"/>
                <w:szCs w:val="20"/>
                <w:color w:val="auto"/>
              </w:rPr>
            </w:pPr>
            <w:r>
              <w:rPr>
                <w:rFonts w:ascii="Arial" w:cs="Arial" w:eastAsia="Arial" w:hAnsi="Arial"/>
                <w:sz w:val="18"/>
                <w:szCs w:val="18"/>
                <w:color w:val="auto"/>
                <w:w w:val="98"/>
              </w:rPr>
              <w:t>Change</w:t>
            </w:r>
          </w:p>
        </w:tc>
        <w:tc>
          <w:tcPr>
            <w:tcW w:w="0" w:type="dxa"/>
            <w:vAlign w:val="bottom"/>
          </w:tcPr>
          <w:p>
            <w:pPr>
              <w:spacing w:after="0"/>
              <w:rPr>
                <w:sz w:val="1"/>
                <w:szCs w:val="1"/>
                <w:color w:val="auto"/>
              </w:rPr>
            </w:pPr>
          </w:p>
        </w:tc>
      </w:tr>
      <w:tr>
        <w:trPr>
          <w:trHeight w:val="203"/>
        </w:trPr>
        <w:tc>
          <w:tcPr>
            <w:tcW w:w="40" w:type="dxa"/>
            <w:vAlign w:val="bottom"/>
            <w:tcBorders>
              <w:top w:val="single" w:sz="8" w:color="CCEEFF"/>
            </w:tcBorders>
            <w:shd w:val="clear" w:color="auto" w:fill="CCEEFF"/>
          </w:tcPr>
          <w:p>
            <w:pPr>
              <w:spacing w:after="0"/>
              <w:rPr>
                <w:sz w:val="17"/>
                <w:szCs w:val="17"/>
                <w:color w:val="auto"/>
              </w:rPr>
            </w:pPr>
          </w:p>
        </w:tc>
        <w:tc>
          <w:tcPr>
            <w:tcW w:w="18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Cost of Sales:</w:t>
            </w: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920" w:type="dxa"/>
            <w:vAlign w:val="bottom"/>
            <w:gridSpan w:val="4"/>
          </w:tcPr>
          <w:p>
            <w:pPr>
              <w:ind w:left="40"/>
              <w:spacing w:after="0"/>
              <w:rPr>
                <w:sz w:val="20"/>
                <w:szCs w:val="20"/>
                <w:color w:val="auto"/>
              </w:rPr>
            </w:pPr>
            <w:r>
              <w:rPr>
                <w:rFonts w:ascii="Arial" w:cs="Arial" w:eastAsia="Arial" w:hAnsi="Arial"/>
                <w:sz w:val="18"/>
                <w:szCs w:val="18"/>
                <w:color w:val="auto"/>
              </w:rPr>
              <w:t>Farm production</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276,008</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221,971</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24.3</w:t>
            </w:r>
          </w:p>
        </w:tc>
        <w:tc>
          <w:tcPr>
            <w:tcW w:w="420" w:type="dxa"/>
            <w:vAlign w:val="bottom"/>
            <w:gridSpan w:val="4"/>
          </w:tcPr>
          <w:p>
            <w:pPr>
              <w:ind w:left="60"/>
              <w:spacing w:after="0"/>
              <w:rPr>
                <w:sz w:val="20"/>
                <w:szCs w:val="20"/>
                <w:color w:val="auto"/>
              </w:rPr>
            </w:pPr>
            <w:r>
              <w:rPr>
                <w:rFonts w:ascii="Arial" w:cs="Arial" w:eastAsia="Arial" w:hAnsi="Arial"/>
                <w:sz w:val="18"/>
                <w:szCs w:val="18"/>
                <w:color w:val="auto"/>
              </w:rPr>
              <w:t>% $</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542,659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429,466</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26.4</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Processing, packaging,</w:t>
            </w: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and warehouse</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83,639</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69,474</w:t>
            </w: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20.4</w:t>
            </w: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165,056</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134,533</w:t>
            </w:r>
          </w:p>
        </w:tc>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22.7</w:t>
            </w:r>
          </w:p>
        </w:tc>
        <w:tc>
          <w:tcPr>
            <w:tcW w:w="2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1920" w:type="dxa"/>
            <w:vAlign w:val="bottom"/>
            <w:gridSpan w:val="4"/>
          </w:tcPr>
          <w:p>
            <w:pPr>
              <w:ind w:left="40"/>
              <w:spacing w:after="0"/>
              <w:rPr>
                <w:sz w:val="20"/>
                <w:szCs w:val="20"/>
                <w:color w:val="auto"/>
              </w:rPr>
            </w:pPr>
            <w:r>
              <w:rPr>
                <w:rFonts w:ascii="Arial" w:cs="Arial" w:eastAsia="Arial" w:hAnsi="Arial"/>
                <w:sz w:val="18"/>
                <w:szCs w:val="18"/>
                <w:color w:val="auto"/>
                <w:w w:val="92"/>
              </w:rPr>
              <w:t>Egg purchases and other</w:t>
            </w:r>
          </w:p>
        </w:tc>
        <w:tc>
          <w:tcPr>
            <w:tcW w:w="1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920" w:type="dxa"/>
            <w:vAlign w:val="bottom"/>
            <w:gridSpan w:val="4"/>
          </w:tcPr>
          <w:p>
            <w:pPr>
              <w:ind w:left="40"/>
              <w:spacing w:after="0"/>
              <w:rPr>
                <w:sz w:val="20"/>
                <w:szCs w:val="20"/>
                <w:color w:val="auto"/>
              </w:rPr>
            </w:pPr>
            <w:r>
              <w:rPr>
                <w:rFonts w:ascii="Arial" w:cs="Arial" w:eastAsia="Arial" w:hAnsi="Arial"/>
                <w:sz w:val="18"/>
                <w:szCs w:val="18"/>
                <w:color w:val="auto"/>
              </w:rPr>
              <w:t>(including change in</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920" w:type="dxa"/>
            <w:vAlign w:val="bottom"/>
            <w:gridSpan w:val="4"/>
          </w:tcPr>
          <w:p>
            <w:pPr>
              <w:ind w:left="40"/>
              <w:spacing w:after="0" w:line="203" w:lineRule="exact"/>
              <w:rPr>
                <w:sz w:val="20"/>
                <w:szCs w:val="20"/>
                <w:color w:val="auto"/>
              </w:rPr>
            </w:pPr>
            <w:r>
              <w:rPr>
                <w:rFonts w:ascii="Arial" w:cs="Arial" w:eastAsia="Arial" w:hAnsi="Arial"/>
                <w:sz w:val="18"/>
                <w:szCs w:val="18"/>
                <w:color w:val="auto"/>
              </w:rPr>
              <w:t>inventory)</w:t>
            </w:r>
          </w:p>
        </w:tc>
        <w:tc>
          <w:tcPr>
            <w:tcW w:w="160" w:type="dxa"/>
            <w:vAlign w:val="bottom"/>
          </w:tcPr>
          <w:p>
            <w:pPr>
              <w:spacing w:after="0"/>
              <w:rPr>
                <w:sz w:val="19"/>
                <w:szCs w:val="19"/>
                <w:color w:val="auto"/>
              </w:rPr>
            </w:pPr>
          </w:p>
        </w:tc>
        <w:tc>
          <w:tcPr>
            <w:tcW w:w="1240" w:type="dxa"/>
            <w:vAlign w:val="bottom"/>
          </w:tcPr>
          <w:p>
            <w:pPr>
              <w:jc w:val="right"/>
              <w:spacing w:after="0" w:line="203" w:lineRule="exact"/>
              <w:rPr>
                <w:sz w:val="20"/>
                <w:szCs w:val="20"/>
                <w:color w:val="auto"/>
              </w:rPr>
            </w:pPr>
            <w:r>
              <w:rPr>
                <w:rFonts w:ascii="Arial" w:cs="Arial" w:eastAsia="Arial" w:hAnsi="Arial"/>
                <w:sz w:val="18"/>
                <w:szCs w:val="18"/>
                <w:color w:val="auto"/>
              </w:rPr>
              <w:t>97,973</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line="203" w:lineRule="exact"/>
              <w:rPr>
                <w:sz w:val="20"/>
                <w:szCs w:val="20"/>
                <w:color w:val="auto"/>
              </w:rPr>
            </w:pPr>
            <w:r>
              <w:rPr>
                <w:rFonts w:ascii="Arial" w:cs="Arial" w:eastAsia="Arial" w:hAnsi="Arial"/>
                <w:sz w:val="18"/>
                <w:szCs w:val="18"/>
                <w:color w:val="auto"/>
              </w:rPr>
              <w:t>36,859</w:t>
            </w:r>
          </w:p>
        </w:tc>
        <w:tc>
          <w:tcPr>
            <w:tcW w:w="56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165.8</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ind w:right="10"/>
              <w:spacing w:after="0" w:line="203" w:lineRule="exact"/>
              <w:rPr>
                <w:sz w:val="20"/>
                <w:szCs w:val="20"/>
                <w:color w:val="auto"/>
              </w:rPr>
            </w:pPr>
            <w:r>
              <w:rPr>
                <w:rFonts w:ascii="Arial" w:cs="Arial" w:eastAsia="Arial" w:hAnsi="Arial"/>
                <w:sz w:val="18"/>
                <w:szCs w:val="18"/>
                <w:color w:val="auto"/>
              </w:rPr>
              <w:t>166,271</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ind w:right="10"/>
              <w:spacing w:after="0" w:line="203" w:lineRule="exact"/>
              <w:rPr>
                <w:sz w:val="20"/>
                <w:szCs w:val="20"/>
                <w:color w:val="auto"/>
              </w:rPr>
            </w:pPr>
            <w:r>
              <w:rPr>
                <w:rFonts w:ascii="Arial" w:cs="Arial" w:eastAsia="Arial" w:hAnsi="Arial"/>
                <w:sz w:val="18"/>
                <w:szCs w:val="18"/>
                <w:color w:val="auto"/>
              </w:rPr>
              <w:t>74,832</w:t>
            </w:r>
          </w:p>
        </w:tc>
        <w:tc>
          <w:tcPr>
            <w:tcW w:w="54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122.2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top w:val="single" w:sz="8" w:color="CCEEFF"/>
            </w:tcBorders>
            <w:shd w:val="clear" w:color="auto" w:fill="CCEEFF"/>
          </w:tcPr>
          <w:p>
            <w:pPr>
              <w:spacing w:after="0"/>
              <w:rPr>
                <w:sz w:val="17"/>
                <w:szCs w:val="17"/>
                <w:color w:val="auto"/>
              </w:rPr>
            </w:pPr>
          </w:p>
        </w:tc>
        <w:tc>
          <w:tcPr>
            <w:tcW w:w="18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Total shell eggs</w:t>
            </w: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457,620</w:t>
            </w:r>
          </w:p>
        </w:tc>
        <w:tc>
          <w:tcPr>
            <w:tcW w:w="4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328,304</w:t>
            </w:r>
          </w:p>
        </w:tc>
        <w:tc>
          <w:tcPr>
            <w:tcW w:w="40" w:type="dxa"/>
            <w:vAlign w:val="bottom"/>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39.4</w:t>
            </w:r>
          </w:p>
        </w:tc>
        <w:tc>
          <w:tcPr>
            <w:tcW w:w="22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ind w:right="10"/>
              <w:spacing w:after="0" w:line="203" w:lineRule="exact"/>
              <w:rPr>
                <w:sz w:val="20"/>
                <w:szCs w:val="20"/>
                <w:color w:val="auto"/>
              </w:rPr>
            </w:pPr>
            <w:r>
              <w:rPr>
                <w:rFonts w:ascii="Arial" w:cs="Arial" w:eastAsia="Arial" w:hAnsi="Arial"/>
                <w:sz w:val="18"/>
                <w:szCs w:val="18"/>
                <w:color w:val="auto"/>
              </w:rPr>
              <w:t>873,986</w:t>
            </w:r>
          </w:p>
        </w:tc>
        <w:tc>
          <w:tcPr>
            <w:tcW w:w="4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ind w:right="10"/>
              <w:spacing w:after="0" w:line="203" w:lineRule="exact"/>
              <w:rPr>
                <w:sz w:val="20"/>
                <w:szCs w:val="20"/>
                <w:color w:val="auto"/>
              </w:rPr>
            </w:pPr>
            <w:r>
              <w:rPr>
                <w:rFonts w:ascii="Arial" w:cs="Arial" w:eastAsia="Arial" w:hAnsi="Arial"/>
                <w:sz w:val="18"/>
                <w:szCs w:val="18"/>
                <w:color w:val="auto"/>
              </w:rPr>
              <w:t>638,831</w:t>
            </w:r>
          </w:p>
        </w:tc>
        <w:tc>
          <w:tcPr>
            <w:tcW w:w="40" w:type="dxa"/>
            <w:vAlign w:val="bottom"/>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36.8</w:t>
            </w:r>
          </w:p>
        </w:tc>
        <w:tc>
          <w:tcPr>
            <w:tcW w:w="22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920" w:type="dxa"/>
            <w:vAlign w:val="bottom"/>
            <w:tcBorders>
              <w:bottom w:val="single" w:sz="8" w:color="CCEEFF"/>
            </w:tcBorders>
            <w:gridSpan w:val="4"/>
          </w:tcPr>
          <w:p>
            <w:pPr>
              <w:ind w:left="40"/>
              <w:spacing w:after="0"/>
              <w:rPr>
                <w:sz w:val="20"/>
                <w:szCs w:val="20"/>
                <w:color w:val="auto"/>
              </w:rPr>
            </w:pPr>
            <w:r>
              <w:rPr>
                <w:rFonts w:ascii="Arial" w:cs="Arial" w:eastAsia="Arial" w:hAnsi="Arial"/>
                <w:sz w:val="18"/>
                <w:szCs w:val="18"/>
                <w:color w:val="auto"/>
              </w:rPr>
              <w:t>Egg products</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26,231</w:t>
            </w:r>
          </w:p>
        </w:tc>
        <w:tc>
          <w:tcPr>
            <w:tcW w:w="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9,672</w:t>
            </w:r>
          </w:p>
        </w:tc>
        <w:tc>
          <w:tcPr>
            <w:tcW w:w="4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171.2</w:t>
            </w:r>
          </w:p>
        </w:tc>
        <w:tc>
          <w:tcPr>
            <w:tcW w:w="2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50,719</w:t>
            </w:r>
          </w:p>
        </w:tc>
        <w:tc>
          <w:tcPr>
            <w:tcW w:w="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17,486</w:t>
            </w:r>
          </w:p>
        </w:tc>
        <w:tc>
          <w:tcPr>
            <w:tcW w:w="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190.1</w:t>
            </w:r>
          </w:p>
        </w:tc>
        <w:tc>
          <w:tcPr>
            <w:tcW w:w="2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shd w:val="clear" w:color="auto" w:fill="CCEEFF"/>
          </w:tcPr>
          <w:p>
            <w:pPr>
              <w:spacing w:after="0"/>
              <w:rPr>
                <w:sz w:val="20"/>
                <w:szCs w:val="20"/>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shd w:val="clear" w:color="auto" w:fill="CCEEFF"/>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483,851</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337,976</w:t>
            </w:r>
          </w:p>
        </w:tc>
        <w:tc>
          <w:tcPr>
            <w:tcW w:w="4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30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shd w:val="clear" w:color="auto" w:fill="CCEEFF"/>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shd w:val="clear" w:color="auto" w:fill="CCEEFF"/>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924,705</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shd w:val="clear" w:color="auto" w:fill="CCEEFF"/>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656,317</w:t>
            </w:r>
          </w:p>
        </w:tc>
        <w:tc>
          <w:tcPr>
            <w:tcW w:w="4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2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Farm production costs</w:t>
            </w:r>
          </w:p>
        </w:tc>
        <w:tc>
          <w:tcPr>
            <w:tcW w:w="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(per dozen produced)</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920" w:type="dxa"/>
            <w:vAlign w:val="bottom"/>
            <w:gridSpan w:val="4"/>
          </w:tcPr>
          <w:p>
            <w:pPr>
              <w:ind w:left="40"/>
              <w:spacing w:after="0"/>
              <w:rPr>
                <w:sz w:val="20"/>
                <w:szCs w:val="20"/>
                <w:color w:val="auto"/>
              </w:rPr>
            </w:pPr>
            <w:r>
              <w:rPr>
                <w:rFonts w:ascii="Arial" w:cs="Arial" w:eastAsia="Arial" w:hAnsi="Arial"/>
                <w:sz w:val="18"/>
                <w:szCs w:val="18"/>
                <w:color w:val="auto"/>
              </w:rPr>
              <w:t>Feed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0.685</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0.529</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29.5</w:t>
            </w:r>
          </w:p>
        </w:tc>
        <w:tc>
          <w:tcPr>
            <w:tcW w:w="420" w:type="dxa"/>
            <w:vAlign w:val="bottom"/>
            <w:gridSpan w:val="4"/>
          </w:tcPr>
          <w:p>
            <w:pPr>
              <w:ind w:left="60"/>
              <w:spacing w:after="0"/>
              <w:rPr>
                <w:sz w:val="20"/>
                <w:szCs w:val="20"/>
                <w:color w:val="auto"/>
              </w:rPr>
            </w:pPr>
            <w:r>
              <w:rPr>
                <w:rFonts w:ascii="Arial" w:cs="Arial" w:eastAsia="Arial" w:hAnsi="Arial"/>
                <w:sz w:val="18"/>
                <w:szCs w:val="18"/>
                <w:color w:val="auto"/>
              </w:rPr>
              <w:t>% $</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0.676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0.537</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25.9</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 w:type="dxa"/>
            <w:vAlign w:val="bottom"/>
            <w:tcBorders>
              <w:bottom w:val="single" w:sz="8" w:color="CCEEFF"/>
            </w:tcBorders>
            <w:shd w:val="clear" w:color="auto" w:fill="CCEEFF"/>
          </w:tcPr>
          <w:p>
            <w:pPr>
              <w:spacing w:after="0"/>
              <w:rPr>
                <w:sz w:val="18"/>
                <w:szCs w:val="18"/>
                <w:color w:val="auto"/>
              </w:rPr>
            </w:pPr>
          </w:p>
        </w:tc>
        <w:tc>
          <w:tcPr>
            <w:tcW w:w="1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shd w:val="clear" w:color="auto" w:fill="CCEEFF"/>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0.386</w:t>
            </w:r>
          </w:p>
        </w:tc>
        <w:tc>
          <w:tcPr>
            <w:tcW w:w="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0.349</w:t>
            </w:r>
          </w:p>
        </w:tc>
        <w:tc>
          <w:tcPr>
            <w:tcW w:w="4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7"/>
                <w:shd w:val="clear" w:color="auto" w:fill="CCEEFF"/>
              </w:rPr>
              <w:t>%</w:t>
            </w: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shd w:val="clear" w:color="auto" w:fill="CCEEFF"/>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0.383</w:t>
            </w: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shd w:val="clear" w:color="auto" w:fill="CCEEFF"/>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0.351</w:t>
            </w:r>
          </w:p>
        </w:tc>
        <w:tc>
          <w:tcPr>
            <w:tcW w:w="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920" w:type="dxa"/>
            <w:vAlign w:val="bottom"/>
            <w:gridSpan w:val="4"/>
          </w:tcPr>
          <w:p>
            <w:pPr>
              <w:ind w:left="40"/>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1.071</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0.878</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22.0</w:t>
            </w:r>
          </w:p>
        </w:tc>
        <w:tc>
          <w:tcPr>
            <w:tcW w:w="420" w:type="dxa"/>
            <w:vAlign w:val="bottom"/>
            <w:gridSpan w:val="4"/>
          </w:tcPr>
          <w:p>
            <w:pPr>
              <w:ind w:left="60"/>
              <w:spacing w:after="0"/>
              <w:rPr>
                <w:sz w:val="20"/>
                <w:szCs w:val="20"/>
                <w:color w:val="auto"/>
              </w:rPr>
            </w:pPr>
            <w:r>
              <w:rPr>
                <w:rFonts w:ascii="Arial" w:cs="Arial" w:eastAsia="Arial" w:hAnsi="Arial"/>
                <w:sz w:val="18"/>
                <w:szCs w:val="18"/>
                <w:color w:val="auto"/>
              </w:rPr>
              <w:t>% $</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1.059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0.888</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19.3</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920" w:type="dxa"/>
            <w:vAlign w:val="bottom"/>
            <w:gridSpan w:val="4"/>
          </w:tcPr>
          <w:p>
            <w:pPr>
              <w:ind w:left="40"/>
              <w:spacing w:after="0"/>
              <w:rPr>
                <w:sz w:val="20"/>
                <w:szCs w:val="20"/>
                <w:color w:val="auto"/>
              </w:rPr>
            </w:pPr>
            <w:r>
              <w:rPr>
                <w:rFonts w:ascii="Arial" w:cs="Arial" w:eastAsia="Arial" w:hAnsi="Arial"/>
                <w:sz w:val="18"/>
                <w:szCs w:val="18"/>
                <w:color w:val="auto"/>
              </w:rPr>
              <w:t>Outside egg purchases</w:t>
            </w: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920" w:type="dxa"/>
            <w:vAlign w:val="bottom"/>
            <w:gridSpan w:val="4"/>
          </w:tcPr>
          <w:p>
            <w:pPr>
              <w:ind w:left="40"/>
              <w:spacing w:after="0"/>
              <w:rPr>
                <w:sz w:val="20"/>
                <w:szCs w:val="20"/>
                <w:color w:val="auto"/>
              </w:rPr>
            </w:pPr>
            <w:r>
              <w:rPr>
                <w:rFonts w:ascii="Arial" w:cs="Arial" w:eastAsia="Arial" w:hAnsi="Arial"/>
                <w:sz w:val="18"/>
                <w:szCs w:val="18"/>
                <w:color w:val="auto"/>
                <w:w w:val="92"/>
              </w:rPr>
              <w:t>(average cost per dozen)</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3.14</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1.56</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101.3</w:t>
            </w:r>
          </w:p>
        </w:tc>
        <w:tc>
          <w:tcPr>
            <w:tcW w:w="420" w:type="dxa"/>
            <w:vAlign w:val="bottom"/>
            <w:gridSpan w:val="4"/>
          </w:tcPr>
          <w:p>
            <w:pPr>
              <w:ind w:left="60"/>
              <w:spacing w:after="0"/>
              <w:rPr>
                <w:sz w:val="20"/>
                <w:szCs w:val="20"/>
                <w:color w:val="auto"/>
              </w:rPr>
            </w:pPr>
            <w:r>
              <w:rPr>
                <w:rFonts w:ascii="Arial" w:cs="Arial" w:eastAsia="Arial" w:hAnsi="Arial"/>
                <w:sz w:val="18"/>
                <w:szCs w:val="18"/>
                <w:color w:val="auto"/>
              </w:rPr>
              <w:t>% $</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2.88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1.45</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98.6</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220" w:type="dxa"/>
            <w:vAlign w:val="bottom"/>
            <w:gridSpan w:val="2"/>
            <w:shd w:val="clear" w:color="auto" w:fill="CCEEFF"/>
          </w:tcPr>
          <w:p>
            <w:pPr>
              <w:spacing w:after="0"/>
              <w:rPr>
                <w:sz w:val="19"/>
                <w:szCs w:val="19"/>
                <w:color w:val="auto"/>
              </w:rPr>
            </w:pPr>
          </w:p>
        </w:tc>
        <w:tc>
          <w:tcPr>
            <w:tcW w:w="700" w:type="dxa"/>
            <w:vAlign w:val="bottom"/>
            <w:gridSpan w:val="2"/>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spacing w:after="0"/>
              <w:rPr>
                <w:sz w:val="19"/>
                <w:szCs w:val="19"/>
                <w:color w:val="auto"/>
              </w:rPr>
            </w:pPr>
          </w:p>
        </w:tc>
        <w:tc>
          <w:tcPr>
            <w:tcW w:w="260" w:type="dxa"/>
            <w:vAlign w:val="bottom"/>
            <w:gridSpan w:val="2"/>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540" w:type="dxa"/>
            <w:vAlign w:val="bottom"/>
            <w:gridSpan w:val="2"/>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20" w:type="dxa"/>
            <w:vAlign w:val="bottom"/>
            <w:gridSpan w:val="4"/>
          </w:tcPr>
          <w:p>
            <w:pPr>
              <w:ind w:left="40"/>
              <w:spacing w:after="0"/>
              <w:rPr>
                <w:sz w:val="20"/>
                <w:szCs w:val="20"/>
                <w:color w:val="auto"/>
              </w:rPr>
            </w:pPr>
            <w:r>
              <w:rPr>
                <w:rFonts w:ascii="Arial" w:cs="Arial" w:eastAsia="Arial" w:hAnsi="Arial"/>
                <w:sz w:val="18"/>
                <w:szCs w:val="18"/>
                <w:color w:val="auto"/>
              </w:rPr>
              <w:t>Dozens produced</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261,358</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256,786</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2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519,012</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493,244</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40" w:type="dxa"/>
            <w:vAlign w:val="bottom"/>
            <w:shd w:val="clear" w:color="auto" w:fill="CCEEFF"/>
          </w:tcPr>
          <w:p>
            <w:pPr>
              <w:spacing w:after="0"/>
              <w:rPr>
                <w:sz w:val="24"/>
                <w:szCs w:val="24"/>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9"/>
                <w:shd w:val="clear" w:color="auto" w:fill="CCEEFF"/>
              </w:rPr>
              <w:t>Percent produced to sold</w:t>
            </w: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w:t>
            </w:r>
          </w:p>
        </w:tc>
        <w:tc>
          <w:tcPr>
            <w:tcW w:w="4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7"/>
                <w:shd w:val="clear" w:color="auto" w:fill="CCEEFF"/>
              </w:rPr>
              <w:t>%</w:t>
            </w: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w:t>
            </w:r>
          </w:p>
        </w:tc>
        <w:tc>
          <w:tcPr>
            <w:tcW w:w="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4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0"/>
              </w:rPr>
              <w:t>Farm Production</w:t>
            </w:r>
          </w:p>
        </w:tc>
        <w:tc>
          <w:tcPr>
            <w:tcW w:w="70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Second Quarter – Fiscal 2023 vs. Fiscal 2022</w:t>
      </w:r>
    </w:p>
    <w:p>
      <w:pPr>
        <w:spacing w:after="0" w:line="12" w:lineRule="exact"/>
        <w:rPr>
          <w:sz w:val="20"/>
          <w:szCs w:val="20"/>
          <w:color w:val="auto"/>
        </w:rPr>
      </w:pPr>
    </w:p>
    <w:p>
      <w:pPr>
        <w:ind w:left="660" w:right="40" w:hanging="329"/>
        <w:spacing w:after="0" w:line="287"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Feed costs per dozen produced increased 29.5% in the second quarter of fiscal 2023 compared to the second quarter of fiscal 2022. This increase was primarily due to increased prices for corn, our primary feed ingredient.</w:t>
      </w:r>
    </w:p>
    <w:p>
      <w:pPr>
        <w:spacing w:after="0" w:line="110" w:lineRule="exact"/>
        <w:rPr>
          <w:rFonts w:ascii="Arial" w:cs="Arial" w:eastAsia="Arial" w:hAnsi="Arial"/>
          <w:sz w:val="17"/>
          <w:szCs w:val="17"/>
          <w:color w:val="auto"/>
        </w:rPr>
      </w:pPr>
    </w:p>
    <w:p>
      <w:pPr>
        <w:jc w:val="both"/>
        <w:ind w:left="660" w:right="40" w:hanging="329"/>
        <w:spacing w:after="0" w:line="255"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 the second quarter of fiscal 2023, the average daily CBOT market price was $6.78 per bushel for corn and $423 per ton of soybean meal representing increases of 24.8% and 25.5%, respectively, as compared to the average daily CBOT prices for the second quarter of fiscal 2022.</w:t>
      </w:r>
    </w:p>
    <w:p>
      <w:pPr>
        <w:spacing w:after="0" w:line="123" w:lineRule="exact"/>
        <w:rPr>
          <w:rFonts w:ascii="Arial" w:cs="Arial" w:eastAsia="Arial" w:hAnsi="Arial"/>
          <w:sz w:val="18"/>
          <w:szCs w:val="18"/>
          <w:color w:val="auto"/>
        </w:rPr>
      </w:pPr>
    </w:p>
    <w:p>
      <w:pPr>
        <w:ind w:left="660" w:right="20" w:hanging="329"/>
        <w:spacing w:after="0" w:line="25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farm production costs increased due to higher facility and flock amortization, primarily from higher feed costs, which began to rise in our third quarter of fiscal 2021 due to increased prices discussed above, and which remained high in the second quarter of fiscal 2023. Feed costs are capitalized in our flocks during pullet production and increased our amortization expense.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Twenty-six weeks – Fiscal 2023 vs. Fiscal 2022</w:t>
      </w:r>
    </w:p>
    <w:p>
      <w:pPr>
        <w:spacing w:after="0" w:line="12" w:lineRule="exact"/>
        <w:rPr>
          <w:sz w:val="20"/>
          <w:szCs w:val="20"/>
          <w:color w:val="auto"/>
        </w:rPr>
      </w:pPr>
    </w:p>
    <w:p>
      <w:pPr>
        <w:ind w:left="660" w:right="60" w:hanging="329"/>
        <w:spacing w:after="0" w:line="258"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Feed costs per dozen produced increased 25.9% in the twenty-six weeks ended November 26, 2022 compared to the same period of fiscal 2021, primarily due to higher feed ingredient prices.</w:t>
      </w:r>
    </w:p>
    <w:p>
      <w:pPr>
        <w:spacing w:after="0" w:line="132" w:lineRule="exact"/>
        <w:rPr>
          <w:rFonts w:ascii="Arial" w:cs="Arial" w:eastAsia="Arial" w:hAnsi="Arial"/>
          <w:sz w:val="18"/>
          <w:szCs w:val="18"/>
          <w:color w:val="auto"/>
        </w:rPr>
      </w:pPr>
    </w:p>
    <w:p>
      <w:pPr>
        <w:ind w:left="660" w:right="20" w:hanging="329"/>
        <w:spacing w:after="0" w:line="248"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 farm production costs increased due to higher facility and flock amortization, primarily from higher feed costs, which began to rise in our third quarter of fiscal 2021 due to increased prices discussed above, and which remained high in the second quarter of fiscal 2023. Feed costs are capitalized in our flocks during pullet production and increased our amortization expense.</w:t>
      </w:r>
    </w:p>
    <w:p>
      <w:pPr>
        <w:spacing w:after="0" w:line="184"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Supplies of corn and soybean remained tight relative to demand in the second quarter of fiscal 2023, as evidenced by a low stock-to-use ratio for corn, as a result of weather-related shortfalls in production and yields, ongoing disruptions related to the COVID-19 global pandemic and the Russia-Ukraine war and its impact on the export markets . Additionally, basis levels for corn ran significantly higher in our area of operations compared to our prior year second fiscal quarter, adding to our expense.</w:t>
      </w:r>
    </w:p>
    <w:p>
      <w:pPr>
        <w:sectPr>
          <w:pgSz w:w="11900" w:h="16838" w:orient="portrait"/>
          <w:cols w:equalWidth="0" w:num="1">
            <w:col w:w="9280"/>
          </w:cols>
          <w:pgMar w:left="1320" w:top="315" w:right="129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9280"/>
          </w:cols>
          <w:pgMar w:left="1320" w:top="315" w:right="1299" w:bottom="1440" w:gutter="0" w:footer="0" w:header="0"/>
          <w:type w:val="continuous"/>
        </w:sectPr>
      </w:pPr>
    </w:p>
    <w:bookmarkStart w:id="23" w:name="page24"/>
    <w:bookmarkEnd w:id="23"/>
    <w:p>
      <w:pPr>
        <w:jc w:val="center"/>
        <w:spacing w:after="0"/>
        <w:rPr>
          <w:sz w:val="20"/>
          <w:szCs w:val="20"/>
          <w:color w:val="auto"/>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82"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For fiscal 2023, we expect continued corn and soybean upward pricing pressures and further market volatility to affect feed costs.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Processing, packaging, and warehouse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Second Quarter – Fiscal 2023 vs. Fiscal 2022</w:t>
      </w:r>
    </w:p>
    <w:p>
      <w:pPr>
        <w:spacing w:after="0" w:line="12" w:lineRule="exact"/>
        <w:rPr>
          <w:sz w:val="20"/>
          <w:szCs w:val="20"/>
          <w:color w:val="auto"/>
        </w:rPr>
      </w:pPr>
    </w:p>
    <w:p>
      <w:pPr>
        <w:ind w:left="660" w:right="40" w:hanging="329"/>
        <w:spacing w:after="0" w:line="258"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 of packaging materials increased 38.3% compared to the second quarter of fiscal 2022 due to rising inflation and labor costs.</w:t>
      </w:r>
    </w:p>
    <w:p>
      <w:pPr>
        <w:spacing w:after="0" w:line="132" w:lineRule="exact"/>
        <w:rPr>
          <w:rFonts w:ascii="Arial" w:cs="Arial" w:eastAsia="Arial" w:hAnsi="Arial"/>
          <w:sz w:val="18"/>
          <w:szCs w:val="18"/>
          <w:color w:val="auto"/>
        </w:rPr>
      </w:pPr>
    </w:p>
    <w:p>
      <w:pPr>
        <w:ind w:left="660" w:hanging="329"/>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Labor costs increased 49.2% due to wage increases and increased use of contract labor in response to labor shortages .</w:t>
      </w:r>
    </w:p>
    <w:p>
      <w:pPr>
        <w:spacing w:after="0" w:line="194" w:lineRule="exact"/>
        <w:rPr>
          <w:rFonts w:ascii="Arial" w:cs="Arial" w:eastAsia="Arial" w:hAnsi="Arial"/>
          <w:sz w:val="16"/>
          <w:szCs w:val="16"/>
          <w:color w:val="auto"/>
        </w:rPr>
      </w:pPr>
    </w:p>
    <w:p>
      <w:pPr>
        <w:ind w:left="660" w:right="80" w:hanging="329"/>
        <w:spacing w:after="0" w:line="276"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Dozens processed increased 5.4% compared to the second quarter of fiscal 2022, which resulted in a $4.0 million increase in costs.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Twenty-six weeks – Fiscal 2023 vs. Fiscal 2022</w:t>
      </w:r>
    </w:p>
    <w:p>
      <w:pPr>
        <w:spacing w:after="0" w:line="12" w:lineRule="exact"/>
        <w:rPr>
          <w:sz w:val="20"/>
          <w:szCs w:val="20"/>
          <w:color w:val="auto"/>
        </w:rPr>
      </w:pPr>
    </w:p>
    <w:p>
      <w:pPr>
        <w:ind w:left="660" w:right="80" w:hanging="329"/>
        <w:spacing w:after="0" w:line="258"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 of packaging materials increased 26.7% compared to the twenty-six weeks ended November 27, 2021 due to rising inflation and labor costs.</w:t>
      </w:r>
    </w:p>
    <w:p>
      <w:pPr>
        <w:spacing w:after="0" w:line="132" w:lineRule="exact"/>
        <w:rPr>
          <w:rFonts w:ascii="Arial" w:cs="Arial" w:eastAsia="Arial" w:hAnsi="Arial"/>
          <w:sz w:val="18"/>
          <w:szCs w:val="18"/>
          <w:color w:val="auto"/>
        </w:rPr>
      </w:pPr>
    </w:p>
    <w:p>
      <w:pPr>
        <w:ind w:left="660" w:hanging="329"/>
        <w:spacing w:after="0" w:line="261"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Labor costs increased 30.3% due to wage increases in response to labor shortages, primarily due to the pandemic and its effects.</w:t>
      </w:r>
    </w:p>
    <w:p>
      <w:pPr>
        <w:spacing w:after="0" w:line="130" w:lineRule="exact"/>
        <w:rPr>
          <w:rFonts w:ascii="Arial" w:cs="Arial" w:eastAsia="Arial" w:hAnsi="Arial"/>
          <w:sz w:val="18"/>
          <w:szCs w:val="18"/>
          <w:color w:val="auto"/>
        </w:rPr>
      </w:pPr>
    </w:p>
    <w:p>
      <w:pPr>
        <w:ind w:left="660" w:right="20" w:hanging="329"/>
        <w:spacing w:after="0" w:line="276"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Dozens processed increased 7.0% compared to the twenty-six weeks ended November 27, 2021, which resulted in a $9.9 million increase in costs.</w:t>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Egg purchases and other (including change in inventory)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Second Quarter – Fiscal 2023 vs. Fiscal 2022</w:t>
      </w:r>
    </w:p>
    <w:p>
      <w:pPr>
        <w:spacing w:after="0" w:line="12" w:lineRule="exact"/>
        <w:rPr>
          <w:sz w:val="20"/>
          <w:szCs w:val="20"/>
          <w:color w:val="auto"/>
        </w:rPr>
      </w:pPr>
    </w:p>
    <w:p>
      <w:pPr>
        <w:ind w:left="660" w:right="20" w:hanging="329"/>
        <w:spacing w:after="0" w:line="258"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Costs in this category increased primarily due to higher egg prices as well as an increase in the volume of outside egg purchases, causing the percentage of produced to sold to decrease to 92.0% from 95.3%.</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Twenty-six weeks – Fiscal 2023 vs. Fiscal 2022</w:t>
      </w:r>
    </w:p>
    <w:p>
      <w:pPr>
        <w:spacing w:after="0" w:line="12" w:lineRule="exact"/>
        <w:rPr>
          <w:sz w:val="20"/>
          <w:szCs w:val="20"/>
          <w:color w:val="auto"/>
        </w:rPr>
      </w:pPr>
    </w:p>
    <w:p>
      <w:pPr>
        <w:ind w:left="660" w:right="20" w:hanging="329"/>
        <w:spacing w:after="0" w:line="258"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Costs in this category increased primarily due to higher egg prices as well as an increase in the volume of outside egg purchases, as our percentage of produced to sold decreased to 92.8% from 94.1%.</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GROSS PROFIT</w:t>
      </w:r>
    </w:p>
    <w:p>
      <w:pPr>
        <w:spacing w:after="0" w:line="212"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Gross profit for the second quarter of fiscal 2023 was $317.8 million compared to $43.7 million for the same period of fiscal 2022. The increase of $274.1 million was primarily due to higher egg prices as well as the increased volume of specialty eggs sold, partially offset by the increased cost of feed ingredients and processing, packaging and warehouse costs.</w:t>
      </w:r>
    </w:p>
    <w:p>
      <w:pPr>
        <w:spacing w:after="0" w:line="152"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Gross profit for the twenty-six weeks ended November 26, 2022 was $535.3 million compared to $50.4 million for the same period of fiscal 2022. The increase of $484.9 million was primarily due to higher egg prices as well as the increased volume of specialty eggs sold, partially offset by the increased cost of feed ingredients and processing, packaging and warehouse costs.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SELLING, GENERAL, AND ADMINISTRATIVE EXPENSES</w:t>
      </w:r>
    </w:p>
    <w:p>
      <w:pPr>
        <w:spacing w:after="0" w:line="212"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Selling, general, and administrative expenses ("SGA") include costs of marketing, distribution, accounting and corporate overhead. The following table presents an analysis of our SGA expenses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9"/>
          </w:tcPr>
          <w:p>
            <w:pPr>
              <w:ind w:left="600"/>
              <w:spacing w:after="0"/>
              <w:rPr>
                <w:sz w:val="20"/>
                <w:szCs w:val="20"/>
                <w:color w:val="auto"/>
              </w:rPr>
            </w:pPr>
            <w:r>
              <w:rPr>
                <w:rFonts w:ascii="Arial" w:cs="Arial" w:eastAsia="Arial" w:hAnsi="Arial"/>
                <w:sz w:val="18"/>
                <w:szCs w:val="18"/>
                <w:color w:val="auto"/>
              </w:rPr>
              <w:t>Thirteen Weeks Ended</w:t>
            </w:r>
          </w:p>
        </w:tc>
        <w:tc>
          <w:tcPr>
            <w:tcW w:w="13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r>
      <w:tr>
        <w:trPr>
          <w:trHeight w:val="210"/>
        </w:trPr>
        <w:tc>
          <w:tcPr>
            <w:tcW w:w="2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60" w:type="dxa"/>
            <w:vAlign w:val="bottom"/>
            <w:gridSpan w:val="5"/>
          </w:tcPr>
          <w:p>
            <w:pPr>
              <w:ind w:left="60"/>
              <w:spacing w:after="0"/>
              <w:rPr>
                <w:sz w:val="20"/>
                <w:szCs w:val="20"/>
                <w:color w:val="auto"/>
              </w:rPr>
            </w:pPr>
            <w:r>
              <w:rPr>
                <w:rFonts w:ascii="Arial" w:cs="Arial" w:eastAsia="Arial" w:hAnsi="Arial"/>
                <w:sz w:val="18"/>
                <w:szCs w:val="18"/>
                <w:color w:val="auto"/>
                <w:w w:val="99"/>
              </w:rPr>
              <w:t>November 26, 2022</w:t>
            </w:r>
          </w:p>
        </w:tc>
        <w:tc>
          <w:tcPr>
            <w:tcW w:w="1620" w:type="dxa"/>
            <w:vAlign w:val="bottom"/>
            <w:gridSpan w:val="5"/>
          </w:tcPr>
          <w:p>
            <w:pPr>
              <w:ind w:left="20"/>
              <w:spacing w:after="0"/>
              <w:rPr>
                <w:sz w:val="20"/>
                <w:szCs w:val="20"/>
                <w:color w:val="auto"/>
              </w:rPr>
            </w:pPr>
            <w:r>
              <w:rPr>
                <w:rFonts w:ascii="Arial" w:cs="Arial" w:eastAsia="Arial" w:hAnsi="Arial"/>
                <w:sz w:val="18"/>
                <w:szCs w:val="18"/>
                <w:color w:val="auto"/>
                <w:w w:val="99"/>
              </w:rPr>
              <w:t>November 27, 2021</w:t>
            </w:r>
          </w:p>
        </w:tc>
        <w:tc>
          <w:tcPr>
            <w:tcW w:w="140" w:type="dxa"/>
            <w:vAlign w:val="bottom"/>
          </w:tcPr>
          <w:p>
            <w:pPr>
              <w:spacing w:after="0"/>
              <w:rPr>
                <w:sz w:val="18"/>
                <w:szCs w:val="18"/>
                <w:color w:val="auto"/>
              </w:rPr>
            </w:pPr>
          </w:p>
        </w:tc>
        <w:tc>
          <w:tcPr>
            <w:tcW w:w="1480" w:type="dxa"/>
            <w:vAlign w:val="bottom"/>
            <w:gridSpan w:val="4"/>
          </w:tcPr>
          <w:p>
            <w:pPr>
              <w:ind w:left="260"/>
              <w:spacing w:after="0"/>
              <w:rPr>
                <w:sz w:val="20"/>
                <w:szCs w:val="20"/>
                <w:color w:val="auto"/>
              </w:rPr>
            </w:pPr>
            <w:r>
              <w:rPr>
                <w:rFonts w:ascii="Arial" w:cs="Arial" w:eastAsia="Arial" w:hAnsi="Arial"/>
                <w:sz w:val="18"/>
                <w:szCs w:val="18"/>
                <w:color w:val="auto"/>
              </w:rPr>
              <w:t>$ Change</w:t>
            </w: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 Change</w:t>
            </w:r>
          </w:p>
        </w:tc>
        <w:tc>
          <w:tcPr>
            <w:tcW w:w="220" w:type="dxa"/>
            <w:vAlign w:val="bottom"/>
          </w:tcPr>
          <w:p>
            <w:pPr>
              <w:spacing w:after="0"/>
              <w:rPr>
                <w:sz w:val="18"/>
                <w:szCs w:val="18"/>
                <w:color w:val="auto"/>
              </w:rPr>
            </w:pPr>
          </w:p>
        </w:tc>
      </w:tr>
      <w:tr>
        <w:trPr>
          <w:trHeight w:val="264"/>
        </w:trPr>
        <w:tc>
          <w:tcPr>
            <w:tcW w:w="27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Specialty egg expense</w:t>
            </w:r>
          </w:p>
        </w:tc>
        <w:tc>
          <w:tcPr>
            <w:tcW w:w="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shd w:val="clear" w:color="auto" w:fill="CCEEFF"/>
              </w:rPr>
              <w:t>$</w:t>
            </w:r>
          </w:p>
        </w:tc>
        <w:tc>
          <w:tcPr>
            <w:tcW w:w="13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14,673</w:t>
            </w: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w:t>
            </w:r>
          </w:p>
        </w:tc>
        <w:tc>
          <w:tcPr>
            <w:tcW w:w="14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14,262</w:t>
            </w: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shd w:val="clear" w:color="auto" w:fill="CCEEFF"/>
              </w:rPr>
              <w:t>$</w:t>
            </w:r>
          </w:p>
        </w:tc>
        <w:tc>
          <w:tcPr>
            <w:tcW w:w="14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411</w:t>
            </w: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 w:type="dxa"/>
            <w:vAlign w:val="bottom"/>
            <w:tcBorders>
              <w:top w:val="single" w:sz="8" w:color="auto"/>
            </w:tcBorders>
            <w:shd w:val="clear" w:color="auto" w:fill="CCEEFF"/>
          </w:tcPr>
          <w:p>
            <w:pPr>
              <w:spacing w:after="0"/>
              <w:rPr>
                <w:sz w:val="22"/>
                <w:szCs w:val="22"/>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w:t>
            </w:r>
          </w:p>
        </w:tc>
      </w:tr>
      <w:tr>
        <w:trPr>
          <w:trHeight w:val="270"/>
        </w:trPr>
        <w:tc>
          <w:tcPr>
            <w:tcW w:w="2780" w:type="dxa"/>
            <w:vAlign w:val="bottom"/>
            <w:gridSpan w:val="2"/>
          </w:tcPr>
          <w:p>
            <w:pPr>
              <w:ind w:left="40"/>
              <w:spacing w:after="0"/>
              <w:rPr>
                <w:sz w:val="20"/>
                <w:szCs w:val="20"/>
                <w:color w:val="auto"/>
              </w:rPr>
            </w:pPr>
            <w:r>
              <w:rPr>
                <w:rFonts w:ascii="Arial" w:cs="Arial" w:eastAsia="Arial" w:hAnsi="Arial"/>
                <w:sz w:val="18"/>
                <w:szCs w:val="18"/>
                <w:color w:val="auto"/>
              </w:rPr>
              <w:t>Delivery expense</w:t>
            </w:r>
          </w:p>
        </w:tc>
        <w:tc>
          <w:tcPr>
            <w:tcW w:w="20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18,175</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14,395</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3,780</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2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Payroll, taxes and benefits</w:t>
            </w: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13,827</w:t>
            </w: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11,303</w:t>
            </w: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2,524</w:t>
            </w: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w:t>
            </w:r>
          </w:p>
        </w:tc>
      </w:tr>
      <w:tr>
        <w:trPr>
          <w:trHeight w:val="270"/>
        </w:trPr>
        <w:tc>
          <w:tcPr>
            <w:tcW w:w="2780" w:type="dxa"/>
            <w:vAlign w:val="bottom"/>
            <w:gridSpan w:val="2"/>
          </w:tcPr>
          <w:p>
            <w:pPr>
              <w:ind w:left="40"/>
              <w:spacing w:after="0"/>
              <w:rPr>
                <w:sz w:val="20"/>
                <w:szCs w:val="20"/>
                <w:color w:val="auto"/>
              </w:rPr>
            </w:pPr>
            <w:r>
              <w:rPr>
                <w:rFonts w:ascii="Arial" w:cs="Arial" w:eastAsia="Arial" w:hAnsi="Arial"/>
                <w:sz w:val="18"/>
                <w:szCs w:val="18"/>
                <w:color w:val="auto"/>
              </w:rPr>
              <w:t>Stock compensation expense</w:t>
            </w:r>
          </w:p>
        </w:tc>
        <w:tc>
          <w:tcPr>
            <w:tcW w:w="20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987</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975</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expenses</w:t>
            </w: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10,290</w:t>
            </w: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6,845</w:t>
            </w: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3,445</w:t>
            </w: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w:t>
            </w:r>
          </w:p>
        </w:tc>
      </w:tr>
      <w:tr>
        <w:trPr>
          <w:trHeight w:val="257"/>
        </w:trPr>
        <w:tc>
          <w:tcPr>
            <w:tcW w:w="2760" w:type="dxa"/>
            <w:vAlign w:val="bottom"/>
          </w:tcPr>
          <w:p>
            <w:pPr>
              <w:ind w:left="4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57,952</w:t>
            </w:r>
          </w:p>
        </w:tc>
        <w:tc>
          <w:tcPr>
            <w:tcW w:w="2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47,780</w:t>
            </w:r>
          </w:p>
        </w:tc>
        <w:tc>
          <w:tcPr>
            <w:tcW w:w="2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10,172</w:t>
            </w:r>
          </w:p>
        </w:tc>
        <w:tc>
          <w:tcPr>
            <w:tcW w:w="2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ectPr>
          <w:pgSz w:w="11900" w:h="16838" w:orient="portrait"/>
          <w:cols w:equalWidth="0" w:num="1">
            <w:col w:w="9260"/>
          </w:cols>
          <w:pgMar w:left="1320" w:top="315" w:right="1319" w:bottom="1440" w:gutter="0" w:footer="0" w:header="0"/>
        </w:sect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9260"/>
          </w:cols>
          <w:pgMar w:left="1320" w:top="315" w:right="1319" w:bottom="1440" w:gutter="0" w:footer="0" w:header="0"/>
          <w:type w:val="continuous"/>
        </w:sectPr>
      </w:pPr>
    </w:p>
    <w:bookmarkStart w:id="24" w:name="page25"/>
    <w:bookmarkEnd w:id="24"/>
    <w:p>
      <w:pPr>
        <w:jc w:val="center"/>
        <w:spacing w:after="0"/>
        <w:rPr>
          <w:sz w:val="20"/>
          <w:szCs w:val="20"/>
          <w:color w:val="auto"/>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Second Quarter – Fiscal 2023 vs. Fiscal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Specialty egg expense</w:t>
      </w:r>
    </w:p>
    <w:p>
      <w:pPr>
        <w:spacing w:after="0" w:line="23" w:lineRule="exact"/>
        <w:rPr>
          <w:sz w:val="20"/>
          <w:szCs w:val="20"/>
          <w:color w:val="auto"/>
        </w:rPr>
      </w:pPr>
    </w:p>
    <w:p>
      <w:pPr>
        <w:jc w:val="both"/>
        <w:ind w:left="660" w:right="20" w:hanging="329"/>
        <w:spacing w:after="0" w:line="260"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Specialty egg expense, which includes franchise fees, advertising and promotion costs, generally aligns with specialty egg volumes, which were up 24.1% for the second quarter of fiscal 2023 compared to the same period of fiscal 2022. However, our specialty egg expense only increased by 2.9%, primarily due to increased sales to other Eggland’s Best, Inc. (“EB”) franchisees, including unconsolidated affiliates, Specialty Eggs, LLC and Southwest Specialty Eggs, LLC. These franchisees were responsible for the franchise fees, advertising and promotion costs associated with those sales, which resulted in reduced costs for us.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Delivery expense</w:t>
      </w:r>
    </w:p>
    <w:p>
      <w:pPr>
        <w:spacing w:after="0" w:line="22" w:lineRule="exact"/>
        <w:rPr>
          <w:sz w:val="20"/>
          <w:szCs w:val="20"/>
          <w:color w:val="auto"/>
        </w:rPr>
      </w:pPr>
    </w:p>
    <w:p>
      <w:pPr>
        <w:ind w:left="660" w:hanging="329"/>
        <w:spacing w:after="0"/>
        <w:tabs>
          <w:tab w:leader="none" w:pos="660" w:val="left"/>
        </w:tabs>
        <w:numPr>
          <w:ilvl w:val="0"/>
          <w:numId w:val="17"/>
        </w:numPr>
        <w:rPr>
          <w:rFonts w:ascii="Arial" w:cs="Arial" w:eastAsia="Arial" w:hAnsi="Arial"/>
          <w:sz w:val="20"/>
          <w:szCs w:val="20"/>
          <w:color w:val="auto"/>
        </w:rPr>
      </w:pPr>
      <w:r>
        <w:rPr>
          <w:rFonts w:ascii="Arial" w:cs="Arial" w:eastAsia="Arial" w:hAnsi="Arial"/>
          <w:sz w:val="18"/>
          <w:szCs w:val="18"/>
          <w:color w:val="auto"/>
        </w:rPr>
        <w:t>The increased delivery expense is primarily due to the increase in contract trucking.</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Payroll, taxes and benefits expense</w:t>
      </w:r>
    </w:p>
    <w:p>
      <w:pPr>
        <w:spacing w:after="0" w:line="21" w:lineRule="exact"/>
        <w:rPr>
          <w:sz w:val="20"/>
          <w:szCs w:val="20"/>
          <w:color w:val="auto"/>
        </w:rPr>
      </w:pPr>
    </w:p>
    <w:p>
      <w:pPr>
        <w:ind w:left="660" w:hanging="319"/>
        <w:spacing w:after="0" w:line="250" w:lineRule="auto"/>
        <w:tabs>
          <w:tab w:leader="none" w:pos="640" w:val="left"/>
        </w:tabs>
        <w:rPr>
          <w:sz w:val="20"/>
          <w:szCs w:val="20"/>
          <w:color w:val="auto"/>
        </w:rPr>
      </w:pPr>
      <w:r>
        <w:rPr>
          <w:rFonts w:ascii="Arial" w:cs="Arial" w:eastAsia="Arial" w:hAnsi="Arial"/>
          <w:sz w:val="20"/>
          <w:szCs w:val="20"/>
          <w:color w:val="auto"/>
        </w:rPr>
        <w:t>-</w:t>
      </w:r>
      <w:r>
        <w:rPr>
          <w:sz w:val="20"/>
          <w:szCs w:val="20"/>
          <w:color w:val="auto"/>
        </w:rPr>
        <w:tab/>
      </w:r>
      <w:r>
        <w:rPr>
          <w:rFonts w:ascii="Arial" w:cs="Arial" w:eastAsia="Arial" w:hAnsi="Arial"/>
          <w:sz w:val="18"/>
          <w:szCs w:val="18"/>
          <w:color w:val="auto"/>
        </w:rPr>
        <w:t>The increase in payroll, taxes and benefits expense is due to an increase in the accrual for anticipated performance-based bonuses.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expense</w:t>
      </w:r>
    </w:p>
    <w:p>
      <w:pPr>
        <w:spacing w:after="0" w:line="23" w:lineRule="exact"/>
        <w:rPr>
          <w:sz w:val="20"/>
          <w:szCs w:val="20"/>
          <w:color w:val="auto"/>
        </w:rPr>
      </w:pPr>
    </w:p>
    <w:p>
      <w:pPr>
        <w:ind w:left="660" w:right="40" w:hanging="329"/>
        <w:spacing w:after="0" w:line="250" w:lineRule="auto"/>
        <w:tabs>
          <w:tab w:leader="none" w:pos="660" w:val="left"/>
        </w:tabs>
        <w:numPr>
          <w:ilvl w:val="0"/>
          <w:numId w:val="18"/>
        </w:numPr>
        <w:rPr>
          <w:rFonts w:ascii="Arial" w:cs="Arial" w:eastAsia="Arial" w:hAnsi="Arial"/>
          <w:sz w:val="20"/>
          <w:szCs w:val="20"/>
          <w:color w:val="auto"/>
        </w:rPr>
      </w:pPr>
      <w:r>
        <w:rPr>
          <w:rFonts w:ascii="Arial" w:cs="Arial" w:eastAsia="Arial" w:hAnsi="Arial"/>
          <w:sz w:val="18"/>
          <w:szCs w:val="18"/>
          <w:color w:val="auto"/>
        </w:rPr>
        <w:t>The increase in other expense is primarily due to increased legal expenses of approximately $2.6 million in the second quarter of fiscal 2023 compared to the second quarter of fiscal 2022.</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6"/>
          </w:tcPr>
          <w:p>
            <w:pPr>
              <w:jc w:val="right"/>
              <w:ind w:right="530"/>
              <w:spacing w:after="0"/>
              <w:rPr>
                <w:sz w:val="20"/>
                <w:szCs w:val="20"/>
                <w:color w:val="auto"/>
              </w:rPr>
            </w:pPr>
            <w:r>
              <w:rPr>
                <w:rFonts w:ascii="Arial" w:cs="Arial" w:eastAsia="Arial" w:hAnsi="Arial"/>
                <w:sz w:val="18"/>
                <w:szCs w:val="18"/>
                <w:color w:val="auto"/>
              </w:rPr>
              <w:t>Twenty-six Weeks Ended</w:t>
            </w: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r>
      <w:tr>
        <w:trPr>
          <w:trHeight w:val="209"/>
        </w:trPr>
        <w:tc>
          <w:tcPr>
            <w:tcW w:w="2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60" w:type="dxa"/>
            <w:vAlign w:val="bottom"/>
            <w:gridSpan w:val="5"/>
          </w:tcPr>
          <w:p>
            <w:pPr>
              <w:ind w:left="60"/>
              <w:spacing w:after="0"/>
              <w:rPr>
                <w:sz w:val="20"/>
                <w:szCs w:val="20"/>
                <w:color w:val="auto"/>
              </w:rPr>
            </w:pPr>
            <w:r>
              <w:rPr>
                <w:rFonts w:ascii="Arial" w:cs="Arial" w:eastAsia="Arial" w:hAnsi="Arial"/>
                <w:sz w:val="18"/>
                <w:szCs w:val="18"/>
                <w:color w:val="auto"/>
                <w:w w:val="99"/>
              </w:rPr>
              <w:t>November 26, 2022</w:t>
            </w:r>
          </w:p>
        </w:tc>
        <w:tc>
          <w:tcPr>
            <w:tcW w:w="1620" w:type="dxa"/>
            <w:vAlign w:val="bottom"/>
            <w:gridSpan w:val="5"/>
          </w:tcPr>
          <w:p>
            <w:pPr>
              <w:ind w:left="20"/>
              <w:spacing w:after="0"/>
              <w:rPr>
                <w:sz w:val="20"/>
                <w:szCs w:val="20"/>
                <w:color w:val="auto"/>
              </w:rPr>
            </w:pPr>
            <w:r>
              <w:rPr>
                <w:rFonts w:ascii="Arial" w:cs="Arial" w:eastAsia="Arial" w:hAnsi="Arial"/>
                <w:sz w:val="18"/>
                <w:szCs w:val="18"/>
                <w:color w:val="auto"/>
                <w:w w:val="99"/>
              </w:rPr>
              <w:t>November 27, 2021</w:t>
            </w:r>
          </w:p>
        </w:tc>
        <w:tc>
          <w:tcPr>
            <w:tcW w:w="140" w:type="dxa"/>
            <w:vAlign w:val="bottom"/>
          </w:tcPr>
          <w:p>
            <w:pPr>
              <w:spacing w:after="0"/>
              <w:rPr>
                <w:sz w:val="18"/>
                <w:szCs w:val="18"/>
                <w:color w:val="auto"/>
              </w:rPr>
            </w:pPr>
          </w:p>
        </w:tc>
        <w:tc>
          <w:tcPr>
            <w:tcW w:w="1360" w:type="dxa"/>
            <w:vAlign w:val="bottom"/>
          </w:tcPr>
          <w:p>
            <w:pPr>
              <w:jc w:val="right"/>
              <w:ind w:right="330"/>
              <w:spacing w:after="0"/>
              <w:rPr>
                <w:sz w:val="20"/>
                <w:szCs w:val="20"/>
                <w:color w:val="auto"/>
              </w:rPr>
            </w:pPr>
            <w:r>
              <w:rPr>
                <w:rFonts w:ascii="Arial" w:cs="Arial" w:eastAsia="Arial" w:hAnsi="Arial"/>
                <w:sz w:val="18"/>
                <w:szCs w:val="18"/>
                <w:color w:val="auto"/>
              </w:rPr>
              <w:t>$ Change</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80" w:type="dxa"/>
            <w:vAlign w:val="bottom"/>
          </w:tcPr>
          <w:p>
            <w:pPr>
              <w:jc w:val="right"/>
              <w:ind w:right="130"/>
              <w:spacing w:after="0"/>
              <w:rPr>
                <w:sz w:val="20"/>
                <w:szCs w:val="20"/>
                <w:color w:val="auto"/>
              </w:rPr>
            </w:pPr>
            <w:r>
              <w:rPr>
                <w:rFonts w:ascii="Arial" w:cs="Arial" w:eastAsia="Arial" w:hAnsi="Arial"/>
                <w:sz w:val="18"/>
                <w:szCs w:val="18"/>
                <w:color w:val="auto"/>
              </w:rPr>
              <w:t>% Change</w:t>
            </w:r>
          </w:p>
        </w:tc>
        <w:tc>
          <w:tcPr>
            <w:tcW w:w="220" w:type="dxa"/>
            <w:vAlign w:val="bottom"/>
          </w:tcPr>
          <w:p>
            <w:pPr>
              <w:spacing w:after="0"/>
              <w:rPr>
                <w:sz w:val="18"/>
                <w:szCs w:val="18"/>
                <w:color w:val="auto"/>
              </w:rPr>
            </w:pPr>
          </w:p>
        </w:tc>
      </w:tr>
      <w:tr>
        <w:trPr>
          <w:trHeight w:val="264"/>
        </w:trPr>
        <w:tc>
          <w:tcPr>
            <w:tcW w:w="27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Specialty egg expense</w:t>
            </w:r>
          </w:p>
        </w:tc>
        <w:tc>
          <w:tcPr>
            <w:tcW w:w="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shd w:val="clear" w:color="auto" w:fill="CCEEFF"/>
              </w:rPr>
              <w:t>$</w:t>
            </w:r>
          </w:p>
        </w:tc>
        <w:tc>
          <w:tcPr>
            <w:tcW w:w="13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27,740</w:t>
            </w: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w:t>
            </w:r>
          </w:p>
        </w:tc>
        <w:tc>
          <w:tcPr>
            <w:tcW w:w="14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27,977</w:t>
            </w: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shd w:val="clear" w:color="auto" w:fill="CCEEFF"/>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40" w:type="dxa"/>
            <w:vAlign w:val="bottom"/>
            <w:tcBorders>
              <w:top w:val="single" w:sz="8" w:color="auto"/>
            </w:tcBorders>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w:t>
            </w:r>
          </w:p>
        </w:tc>
      </w:tr>
      <w:tr>
        <w:trPr>
          <w:trHeight w:val="270"/>
        </w:trPr>
        <w:tc>
          <w:tcPr>
            <w:tcW w:w="2780" w:type="dxa"/>
            <w:vAlign w:val="bottom"/>
            <w:gridSpan w:val="2"/>
          </w:tcPr>
          <w:p>
            <w:pPr>
              <w:ind w:left="40"/>
              <w:spacing w:after="0"/>
              <w:rPr>
                <w:sz w:val="20"/>
                <w:szCs w:val="20"/>
                <w:color w:val="auto"/>
              </w:rPr>
            </w:pPr>
            <w:r>
              <w:rPr>
                <w:rFonts w:ascii="Arial" w:cs="Arial" w:eastAsia="Arial" w:hAnsi="Arial"/>
                <w:sz w:val="18"/>
                <w:szCs w:val="18"/>
                <w:color w:val="auto"/>
              </w:rPr>
              <w:t>Delivery expense</w:t>
            </w:r>
          </w:p>
        </w:tc>
        <w:tc>
          <w:tcPr>
            <w:tcW w:w="20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38,091</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28,331</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9,760</w:t>
            </w:r>
          </w:p>
        </w:tc>
        <w:tc>
          <w:tcPr>
            <w:tcW w:w="1460" w:type="dxa"/>
            <w:vAlign w:val="bottom"/>
            <w:gridSpan w:val="4"/>
          </w:tcPr>
          <w:p>
            <w:pPr>
              <w:jc w:val="right"/>
              <w:spacing w:after="0"/>
              <w:rPr>
                <w:sz w:val="20"/>
                <w:szCs w:val="20"/>
                <w:color w:val="auto"/>
              </w:rPr>
            </w:pPr>
            <w:r>
              <w:rPr>
                <w:rFonts w:ascii="Arial" w:cs="Arial" w:eastAsia="Arial" w:hAnsi="Arial"/>
                <w:sz w:val="18"/>
                <w:szCs w:val="18"/>
                <w:color w:val="auto"/>
              </w:rPr>
              <w:t>34.4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2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Payroll, taxes and benefits</w:t>
            </w: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24,814</w:t>
            </w: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21,242</w:t>
            </w: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3,572</w:t>
            </w:r>
          </w:p>
        </w:tc>
        <w:tc>
          <w:tcPr>
            <w:tcW w:w="60" w:type="dxa"/>
            <w:vAlign w:val="bottom"/>
            <w:gridSpan w:val="2"/>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w:t>
            </w:r>
          </w:p>
        </w:tc>
      </w:tr>
      <w:tr>
        <w:trPr>
          <w:trHeight w:val="270"/>
        </w:trPr>
        <w:tc>
          <w:tcPr>
            <w:tcW w:w="2780" w:type="dxa"/>
            <w:vAlign w:val="bottom"/>
            <w:gridSpan w:val="2"/>
          </w:tcPr>
          <w:p>
            <w:pPr>
              <w:ind w:left="40"/>
              <w:spacing w:after="0"/>
              <w:rPr>
                <w:sz w:val="20"/>
                <w:szCs w:val="20"/>
                <w:color w:val="auto"/>
              </w:rPr>
            </w:pPr>
            <w:r>
              <w:rPr>
                <w:rFonts w:ascii="Arial" w:cs="Arial" w:eastAsia="Arial" w:hAnsi="Arial"/>
                <w:sz w:val="18"/>
                <w:szCs w:val="18"/>
                <w:color w:val="auto"/>
              </w:rPr>
              <w:t>Stock compensation expense</w:t>
            </w:r>
          </w:p>
        </w:tc>
        <w:tc>
          <w:tcPr>
            <w:tcW w:w="20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2,012</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1,976</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36</w:t>
            </w:r>
          </w:p>
        </w:tc>
        <w:tc>
          <w:tcPr>
            <w:tcW w:w="1460" w:type="dxa"/>
            <w:vAlign w:val="bottom"/>
            <w:gridSpan w:val="4"/>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2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expenses</w:t>
            </w:r>
          </w:p>
        </w:tc>
        <w:tc>
          <w:tcPr>
            <w:tcW w:w="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18,902</w:t>
            </w: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14,779</w:t>
            </w: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4,123</w:t>
            </w:r>
          </w:p>
        </w:tc>
        <w:tc>
          <w:tcPr>
            <w:tcW w:w="40" w:type="dxa"/>
            <w:vAlign w:val="bottom"/>
            <w:tcBorders>
              <w:bottom w:val="single" w:sz="8" w:color="auto"/>
            </w:tcBorders>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w:t>
            </w:r>
          </w:p>
        </w:tc>
      </w:tr>
      <w:tr>
        <w:trPr>
          <w:trHeight w:val="237"/>
        </w:trPr>
        <w:tc>
          <w:tcPr>
            <w:tcW w:w="278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111,559</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94,305</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17,254</w:t>
            </w:r>
          </w:p>
        </w:tc>
        <w:tc>
          <w:tcPr>
            <w:tcW w:w="1460" w:type="dxa"/>
            <w:vAlign w:val="bottom"/>
            <w:gridSpan w:val="4"/>
          </w:tcPr>
          <w:p>
            <w:pPr>
              <w:jc w:val="right"/>
              <w:spacing w:after="0"/>
              <w:rPr>
                <w:sz w:val="20"/>
                <w:szCs w:val="20"/>
                <w:color w:val="auto"/>
              </w:rPr>
            </w:pPr>
            <w:r>
              <w:rPr>
                <w:rFonts w:ascii="Arial" w:cs="Arial" w:eastAsia="Arial" w:hAnsi="Arial"/>
                <w:sz w:val="18"/>
                <w:szCs w:val="18"/>
                <w:color w:val="auto"/>
              </w:rPr>
              <w:t>18.3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27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Twenty-six weeks – Fiscal 2022 vs. Fiscal 2021</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Specialty egg expense</w:t>
      </w:r>
    </w:p>
    <w:p>
      <w:pPr>
        <w:spacing w:after="0" w:line="9" w:lineRule="exact"/>
        <w:rPr>
          <w:sz w:val="20"/>
          <w:szCs w:val="20"/>
          <w:color w:val="auto"/>
        </w:rPr>
      </w:pPr>
    </w:p>
    <w:p>
      <w:pPr>
        <w:jc w:val="both"/>
        <w:ind w:left="660" w:right="40" w:hanging="329"/>
        <w:spacing w:after="0" w:line="239" w:lineRule="auto"/>
        <w:tabs>
          <w:tab w:leader="none" w:pos="660" w:val="left"/>
        </w:tabs>
        <w:numPr>
          <w:ilvl w:val="0"/>
          <w:numId w:val="19"/>
        </w:numPr>
        <w:rPr>
          <w:rFonts w:ascii="Arial" w:cs="Arial" w:eastAsia="Arial" w:hAnsi="Arial"/>
          <w:sz w:val="20"/>
          <w:szCs w:val="20"/>
          <w:color w:val="auto"/>
        </w:rPr>
      </w:pPr>
      <w:r>
        <w:rPr>
          <w:rFonts w:ascii="Arial" w:cs="Arial" w:eastAsia="Arial" w:hAnsi="Arial"/>
          <w:sz w:val="18"/>
          <w:szCs w:val="18"/>
          <w:color w:val="auto"/>
        </w:rPr>
        <w:t>Specialty egg expense, which includes franchise fees, advertising and promotion costs, generally aligns with specialty egg volumes, which were up 29.4% for fiscal 2023 compared to fiscal 2022. However, our specialty egg expense decreased by 0.8%, primarily due to increased sales to other Eggland’s Best, Inc. (“EB”) franchisees, including unconsolidated affiliates, Specialty Eggs, LLC and Southwest Specialty Eggs, LLC. Additionally, the higher prices for conventional eggs and the comparatively lower prices for specialty eggs diminished the need to promote specialty eggs; as a result, EB temporarily reduced the related franchise fees for certain specialty egg products to encourage continued production of these products.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Delivery expense</w:t>
      </w:r>
    </w:p>
    <w:p>
      <w:pPr>
        <w:spacing w:after="0" w:line="9" w:lineRule="exact"/>
        <w:rPr>
          <w:sz w:val="20"/>
          <w:szCs w:val="20"/>
          <w:color w:val="auto"/>
        </w:rPr>
      </w:pPr>
    </w:p>
    <w:p>
      <w:pPr>
        <w:ind w:left="660" w:right="60" w:hanging="329"/>
        <w:spacing w:after="0" w:line="250" w:lineRule="auto"/>
        <w:tabs>
          <w:tab w:leader="none" w:pos="660" w:val="left"/>
        </w:tabs>
        <w:numPr>
          <w:ilvl w:val="0"/>
          <w:numId w:val="20"/>
        </w:numPr>
        <w:rPr>
          <w:rFonts w:ascii="Arial" w:cs="Arial" w:eastAsia="Arial" w:hAnsi="Arial"/>
          <w:sz w:val="20"/>
          <w:szCs w:val="20"/>
          <w:color w:val="auto"/>
        </w:rPr>
      </w:pPr>
      <w:r>
        <w:rPr>
          <w:rFonts w:ascii="Arial" w:cs="Arial" w:eastAsia="Arial" w:hAnsi="Arial"/>
          <w:sz w:val="18"/>
          <w:szCs w:val="18"/>
          <w:color w:val="auto"/>
        </w:rPr>
        <w:t>The increased delivery expense is primarily due to the increase in fuel and labor costs for both our fleet and contract trucking.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Payroll, taxes and benefits expense</w:t>
      </w:r>
    </w:p>
    <w:p>
      <w:pPr>
        <w:spacing w:after="0" w:line="23" w:lineRule="exact"/>
        <w:rPr>
          <w:sz w:val="20"/>
          <w:szCs w:val="20"/>
          <w:color w:val="auto"/>
        </w:rPr>
      </w:pPr>
    </w:p>
    <w:p>
      <w:pPr>
        <w:ind w:left="660" w:right="20" w:hanging="329"/>
        <w:spacing w:after="0" w:line="279" w:lineRule="auto"/>
        <w:tabs>
          <w:tab w:leader="none" w:pos="660" w:val="left"/>
        </w:tabs>
        <w:numPr>
          <w:ilvl w:val="0"/>
          <w:numId w:val="21"/>
        </w:numPr>
        <w:rPr>
          <w:rFonts w:ascii="Arial" w:cs="Arial" w:eastAsia="Arial" w:hAnsi="Arial"/>
          <w:sz w:val="19"/>
          <w:szCs w:val="19"/>
          <w:color w:val="auto"/>
        </w:rPr>
      </w:pPr>
      <w:r>
        <w:rPr>
          <w:rFonts w:ascii="Arial" w:cs="Arial" w:eastAsia="Arial" w:hAnsi="Arial"/>
          <w:sz w:val="17"/>
          <w:szCs w:val="17"/>
          <w:color w:val="auto"/>
        </w:rPr>
        <w:t>The increase in payroll, taxes and benefits expense is primarily due to an increase in the accrual for anticipated performance-based bonuses and increased wages for all employees due to the inflationary market.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expenses</w:t>
      </w:r>
    </w:p>
    <w:p>
      <w:pPr>
        <w:spacing w:after="0" w:line="22" w:lineRule="exact"/>
        <w:rPr>
          <w:sz w:val="20"/>
          <w:szCs w:val="20"/>
          <w:color w:val="auto"/>
        </w:rPr>
      </w:pPr>
    </w:p>
    <w:p>
      <w:pPr>
        <w:ind w:left="660" w:hanging="329"/>
        <w:spacing w:after="0"/>
        <w:tabs>
          <w:tab w:leader="none" w:pos="660" w:val="left"/>
        </w:tabs>
        <w:numPr>
          <w:ilvl w:val="0"/>
          <w:numId w:val="22"/>
        </w:numPr>
        <w:rPr>
          <w:rFonts w:ascii="Arial" w:cs="Arial" w:eastAsia="Arial" w:hAnsi="Arial"/>
          <w:sz w:val="20"/>
          <w:szCs w:val="20"/>
          <w:color w:val="auto"/>
        </w:rPr>
      </w:pPr>
      <w:r>
        <w:rPr>
          <w:rFonts w:ascii="Arial" w:cs="Arial" w:eastAsia="Arial" w:hAnsi="Arial"/>
          <w:sz w:val="18"/>
          <w:szCs w:val="18"/>
          <w:color w:val="auto"/>
        </w:rPr>
        <w:t>The increase in other expense is primarily due to increased legal expenses of approximately $3.5 million.</w:t>
      </w:r>
    </w:p>
    <w:p>
      <w:pPr>
        <w:spacing w:after="0" w:line="188"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18"/>
          <w:szCs w:val="18"/>
          <w:color w:val="auto"/>
        </w:rPr>
        <w:t>OPERATING INCOME (LOSS)</w:t>
      </w:r>
    </w:p>
    <w:p>
      <w:pPr>
        <w:spacing w:after="0" w:line="212" w:lineRule="exact"/>
        <w:rPr>
          <w:sz w:val="20"/>
          <w:szCs w:val="20"/>
          <w:color w:val="auto"/>
        </w:rPr>
      </w:pPr>
    </w:p>
    <w:p>
      <w:pPr>
        <w:ind w:right="80"/>
        <w:spacing w:after="0" w:line="276" w:lineRule="auto"/>
        <w:rPr>
          <w:sz w:val="20"/>
          <w:szCs w:val="20"/>
          <w:color w:val="auto"/>
        </w:rPr>
      </w:pPr>
      <w:r>
        <w:rPr>
          <w:rFonts w:ascii="Arial" w:cs="Arial" w:eastAsia="Arial" w:hAnsi="Arial"/>
          <w:sz w:val="18"/>
          <w:szCs w:val="18"/>
          <w:color w:val="auto"/>
        </w:rPr>
        <w:t>For the second quarter of fiscal 2023, we recorded operating income of $259.9 million compared to operating loss of $2.1 million for the same period of fiscal 2022.</w:t>
      </w:r>
    </w:p>
    <w:p>
      <w:pPr>
        <w:sectPr>
          <w:pgSz w:w="11900" w:h="16838" w:orient="portrait"/>
          <w:cols w:equalWidth="0" w:num="1">
            <w:col w:w="9260"/>
          </w:cols>
          <w:pgMar w:left="1320" w:top="315" w:right="131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9260"/>
          </w:cols>
          <w:pgMar w:left="1320" w:top="315" w:right="1319" w:bottom="1440" w:gutter="0" w:footer="0" w:header="0"/>
          <w:type w:val="continuous"/>
        </w:sectPr>
      </w:pPr>
    </w:p>
    <w:bookmarkStart w:id="25" w:name="page26"/>
    <w:bookmarkEnd w:id="25"/>
    <w:p>
      <w:pPr>
        <w:jc w:val="center"/>
        <w:ind w:right="60"/>
        <w:spacing w:after="0"/>
        <w:rPr>
          <w:sz w:val="20"/>
          <w:szCs w:val="20"/>
          <w:color w:val="auto"/>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For the twenty-six weeks ended November 26, 2022, we recorded an operating income of $423.7 million compared to an operating loss of $41.7 million for the same period of fiscal 2022.</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w:t>
      </w:r>
    </w:p>
    <w:p>
      <w:pPr>
        <w:spacing w:after="0" w:line="225" w:lineRule="exact"/>
        <w:rPr>
          <w:sz w:val="20"/>
          <w:szCs w:val="20"/>
          <w:color w:val="auto"/>
        </w:rPr>
      </w:pPr>
    </w:p>
    <w:p>
      <w:pPr>
        <w:jc w:val="both"/>
        <w:ind w:right="60"/>
        <w:spacing w:after="0" w:line="290" w:lineRule="auto"/>
        <w:rPr>
          <w:sz w:val="20"/>
          <w:szCs w:val="20"/>
          <w:color w:val="auto"/>
        </w:rPr>
      </w:pPr>
      <w:r>
        <w:rPr>
          <w:rFonts w:ascii="Arial" w:cs="Arial" w:eastAsia="Arial" w:hAnsi="Arial"/>
          <w:sz w:val="17"/>
          <w:szCs w:val="17"/>
          <w:color w:val="auto"/>
        </w:rPr>
        <w:t>Total other income (expense) consists of items not directly charged or related to operations, such as interest income and expense, royalty income, equity income or loss of unconsolidated entities, and patronage income, among other items.</w:t>
      </w:r>
    </w:p>
    <w:p>
      <w:pPr>
        <w:spacing w:after="0" w:line="162" w:lineRule="exact"/>
        <w:rPr>
          <w:sz w:val="20"/>
          <w:szCs w:val="20"/>
          <w:color w:val="auto"/>
        </w:rPr>
      </w:pPr>
    </w:p>
    <w:p>
      <w:pPr>
        <w:jc w:val="both"/>
        <w:ind w:right="80"/>
        <w:spacing w:after="0" w:line="311" w:lineRule="auto"/>
        <w:rPr>
          <w:sz w:val="20"/>
          <w:szCs w:val="20"/>
          <w:color w:val="auto"/>
        </w:rPr>
      </w:pPr>
      <w:r>
        <w:rPr>
          <w:rFonts w:ascii="Arial" w:cs="Arial" w:eastAsia="Arial" w:hAnsi="Arial"/>
          <w:sz w:val="16"/>
          <w:szCs w:val="16"/>
          <w:color w:val="auto"/>
        </w:rPr>
        <w:t>For the second quarter of fiscal 2023, we earned $2.1 million of interest income compared to $207 thousand for the same period of fiscal 2022. The increase resulted from significantly higher investment balances. The Company recorded interest expense of $143 thousand and $78 thousand for the second quarters ended November 26, 2022 and November 27, 2021, respectively.</w:t>
      </w:r>
    </w:p>
    <w:p>
      <w:pPr>
        <w:spacing w:after="0" w:line="135" w:lineRule="exact"/>
        <w:rPr>
          <w:sz w:val="20"/>
          <w:szCs w:val="20"/>
          <w:color w:val="auto"/>
        </w:rPr>
      </w:pPr>
    </w:p>
    <w:p>
      <w:pPr>
        <w:jc w:val="both"/>
        <w:ind w:right="40"/>
        <w:spacing w:after="0" w:line="254" w:lineRule="auto"/>
        <w:rPr>
          <w:sz w:val="20"/>
          <w:szCs w:val="20"/>
          <w:color w:val="auto"/>
        </w:rPr>
      </w:pPr>
      <w:r>
        <w:rPr>
          <w:rFonts w:ascii="Arial" w:cs="Arial" w:eastAsia="Arial" w:hAnsi="Arial"/>
          <w:sz w:val="18"/>
          <w:szCs w:val="18"/>
          <w:color w:val="auto"/>
        </w:rPr>
        <w:t>For the twenty-six weeks ended November 26, 2022, we earned $3.1 million of interest income compared to $497 million for the same period of fiscal 2022. The increase resulted from significantly higher investment balances. The Company recorded interest expense of $291 thousand and $136 thousand for the twenty-six weeks ended November 26, 2022 and November 27, 2021, respectively.</w:t>
      </w:r>
    </w:p>
    <w:p>
      <w:pPr>
        <w:spacing w:after="0" w:line="177" w:lineRule="exact"/>
        <w:rPr>
          <w:sz w:val="20"/>
          <w:szCs w:val="20"/>
          <w:color w:val="auto"/>
        </w:rPr>
      </w:pPr>
    </w:p>
    <w:p>
      <w:pPr>
        <w:ind w:right="120"/>
        <w:spacing w:after="0" w:line="276" w:lineRule="auto"/>
        <w:rPr>
          <w:sz w:val="20"/>
          <w:szCs w:val="20"/>
          <w:color w:val="auto"/>
        </w:rPr>
      </w:pPr>
      <w:r>
        <w:rPr>
          <w:rFonts w:ascii="Arial" w:cs="Arial" w:eastAsia="Arial" w:hAnsi="Arial"/>
          <w:sz w:val="18"/>
          <w:szCs w:val="18"/>
          <w:color w:val="auto"/>
        </w:rPr>
        <w:t>Other, net for the second quarter ended November 26, 2022, was income of $1.1 million compared to income of $1.9 million for the same period of fiscal 2022.</w:t>
      </w:r>
    </w:p>
    <w:p>
      <w:pPr>
        <w:spacing w:after="0" w:line="172" w:lineRule="exact"/>
        <w:rPr>
          <w:sz w:val="20"/>
          <w:szCs w:val="20"/>
          <w:color w:val="auto"/>
        </w:rPr>
      </w:pPr>
    </w:p>
    <w:p>
      <w:pPr>
        <w:jc w:val="both"/>
        <w:ind w:right="20"/>
        <w:spacing w:after="0" w:line="249" w:lineRule="auto"/>
        <w:rPr>
          <w:sz w:val="20"/>
          <w:szCs w:val="20"/>
          <w:color w:val="auto"/>
        </w:rPr>
      </w:pPr>
      <w:r>
        <w:rPr>
          <w:rFonts w:ascii="Arial" w:cs="Arial" w:eastAsia="Arial" w:hAnsi="Arial"/>
          <w:sz w:val="18"/>
          <w:szCs w:val="18"/>
          <w:color w:val="auto"/>
        </w:rPr>
        <w:t>Other, net for the twenty-six weeks ended November 26, 2022, was income of $1.3 million compared to income of $7.0 million for the same period of fiscal 2022. The majority of the decrease is due to our acquisition in fiscal 2022 of the remaining 50% membership interest in Red River Valley Egg Farm, LLC (“Red River”) as we recognized a $4.5 million gain due to the remeasurement of our equity investment, along with the $1.4 million payment received in fiscal 2022 related to review and adjustment of our various marketing agreements.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INCOME TAXES</w:t>
      </w:r>
    </w:p>
    <w:p>
      <w:pPr>
        <w:spacing w:after="0" w:line="22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For the second quarter of fiscal 2023, pre-tax income was $262.2 million compared to $468 thousand for the same period of fiscal 2022. We recorded income tax expense of $64 million for the second quarter of fiscal 2023, which reflects an effective tax rate of 24.4%. We recorded an income tax benefit of $677 thousand in the prior year period which includes a $520 thousand discrete tax benefit related to the Internal Revenue Service (IRS) adjustments associated with the Company’s previously recognized research and development tax benefits.</w:t>
      </w:r>
    </w:p>
    <w:p>
      <w:pPr>
        <w:spacing w:after="0" w:line="192" w:lineRule="exact"/>
        <w:rPr>
          <w:sz w:val="20"/>
          <w:szCs w:val="20"/>
          <w:color w:val="auto"/>
        </w:rPr>
      </w:pPr>
    </w:p>
    <w:p>
      <w:pPr>
        <w:jc w:val="both"/>
        <w:ind w:right="20"/>
        <w:spacing w:after="0" w:line="271" w:lineRule="auto"/>
        <w:rPr>
          <w:sz w:val="20"/>
          <w:szCs w:val="20"/>
          <w:color w:val="auto"/>
        </w:rPr>
      </w:pPr>
      <w:r>
        <w:rPr>
          <w:rFonts w:ascii="Arial" w:cs="Arial" w:eastAsia="Arial" w:hAnsi="Arial"/>
          <w:sz w:val="17"/>
          <w:szCs w:val="17"/>
          <w:color w:val="auto"/>
        </w:rPr>
        <w:t>For the twenty-six weeks ended November 26, 2022, pre-tax income was $427.7 million compared to a pre-tax loss of $33.4 million for the same period of fiscal 2022. We recorded income tax expense of $104.3 million which reflects an effective tax rate of 24.4%. We recorded an income tax benefit of $16.5 million in the prior year period, which includes the discrete tax benefit of $8.3 million in connection with the Red River acquisition. Excluding the discrete tax benefit, income tax benefit for the comparable period of fiscal 2022 was $8.2 million with an adjusted effective tax rate of 24.6%.</w:t>
      </w:r>
    </w:p>
    <w:p>
      <w:pPr>
        <w:spacing w:after="0" w:line="16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Our effective tax rate differs from the federal statutory income tax rate due to state income taxes, certain federal tax credits and certain items included in income for financial reporting purposes that are not included in taxable income for income tax purposes, including tax exempt interest income, certain nondeductible expenses and net income or loss attributable to our noncontrolling interest.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NET INCOME ATTRIBUTABLE TO CAL-MAINE FOODS, INC.</w:t>
      </w:r>
    </w:p>
    <w:p>
      <w:pPr>
        <w:spacing w:after="0" w:line="225"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Net income attributable to Cal-Maine Foods, Inc. for the second quarter ended November 26, 2022, was $198.6 million, or $4.08 per basic and $4.07 per diluted common share, compared to net income attributable to Cal-Maine Foods, Inc. of $1.2 million or $0.02 per basic and diluted common share for the same period of fiscal 2022.</w:t>
      </w:r>
    </w:p>
    <w:p>
      <w:pPr>
        <w:spacing w:after="0" w:line="191"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color w:val="auto"/>
        </w:rPr>
        <w:t>Net income attributable to Cal-Maine Foods, Inc. for the twenty-six weeks ended November 26, 2022, was $323.9 million, or $6.66 per basic and $6.63 per diluted share, compared to net loss of $16.9 million or $0.34 per basic and diluted share for the same period of fiscal 2022.</w:t>
      </w:r>
    </w:p>
    <w:p>
      <w:pPr>
        <w:sectPr>
          <w:pgSz w:w="11900" w:h="16838" w:orient="portrait"/>
          <w:cols w:equalWidth="0" w:num="1">
            <w:col w:w="9300"/>
          </w:cols>
          <w:pgMar w:left="1320" w:top="315"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9300"/>
          </w:cols>
          <w:pgMar w:left="1320" w:top="315" w:right="1279" w:bottom="1440" w:gutter="0" w:footer="0" w:header="0"/>
          <w:type w:val="continuous"/>
        </w:sectPr>
      </w:pPr>
    </w:p>
    <w:bookmarkStart w:id="26" w:name="page27"/>
    <w:bookmarkEnd w:id="26"/>
    <w:p>
      <w:pPr>
        <w:jc w:val="center"/>
        <w:spacing w:after="0"/>
        <w:rPr>
          <w:sz w:val="20"/>
          <w:szCs w:val="20"/>
          <w:color w:val="auto"/>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82" w:lineRule="exact"/>
        <w:rPr>
          <w:sz w:val="20"/>
          <w:szCs w:val="20"/>
          <w:color w:val="auto"/>
        </w:rPr>
      </w:pPr>
    </w:p>
    <w:p>
      <w:pPr>
        <w:ind w:left="40"/>
        <w:spacing w:after="0"/>
        <w:rPr>
          <w:sz w:val="20"/>
          <w:szCs w:val="20"/>
          <w:color w:val="auto"/>
        </w:rPr>
      </w:pPr>
      <w:r>
        <w:rPr>
          <w:rFonts w:ascii="Arial" w:cs="Arial" w:eastAsia="Arial" w:hAnsi="Arial"/>
          <w:sz w:val="18"/>
          <w:szCs w:val="18"/>
          <w:color w:val="auto"/>
        </w:rPr>
        <w:t>LIQUIDITY AND CAPITAL RESOURCES</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Working Capital and Current Ratio</w:t>
      </w:r>
    </w:p>
    <w:p>
      <w:pPr>
        <w:spacing w:after="0" w:line="225" w:lineRule="exact"/>
        <w:rPr>
          <w:sz w:val="20"/>
          <w:szCs w:val="20"/>
          <w:color w:val="auto"/>
        </w:rPr>
      </w:pPr>
    </w:p>
    <w:p>
      <w:pPr>
        <w:jc w:val="both"/>
        <w:ind w:left="40" w:right="80"/>
        <w:spacing w:after="0" w:line="277" w:lineRule="auto"/>
        <w:rPr>
          <w:sz w:val="20"/>
          <w:szCs w:val="20"/>
          <w:color w:val="auto"/>
        </w:rPr>
      </w:pPr>
      <w:r>
        <w:rPr>
          <w:rFonts w:ascii="Arial" w:cs="Arial" w:eastAsia="Arial" w:hAnsi="Arial"/>
          <w:sz w:val="17"/>
          <w:szCs w:val="17"/>
          <w:color w:val="auto"/>
        </w:rPr>
        <w:t>Our working capital at November 26, 2022 was $667.5 million, compared to $476.8 million at May 28, 2022. The calculation of working capital is defined as current assets less current liabilities. Our current ratio was 3.2 at November 26, 2022, compared with 3.6 at May 28, 2022. The current ratio is calculated by dividing current assets by current liabilities.</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Cash Flows from Operating Activities</w:t>
      </w:r>
    </w:p>
    <w:p>
      <w:pPr>
        <w:spacing w:after="0" w:line="212" w:lineRule="exact"/>
        <w:rPr>
          <w:sz w:val="20"/>
          <w:szCs w:val="20"/>
          <w:color w:val="auto"/>
        </w:rPr>
      </w:pPr>
    </w:p>
    <w:p>
      <w:pPr>
        <w:jc w:val="both"/>
        <w:ind w:left="40"/>
        <w:spacing w:after="0" w:line="253" w:lineRule="auto"/>
        <w:rPr>
          <w:sz w:val="20"/>
          <w:szCs w:val="20"/>
          <w:color w:val="auto"/>
        </w:rPr>
      </w:pPr>
      <w:r>
        <w:rPr>
          <w:rFonts w:ascii="Arial" w:cs="Arial" w:eastAsia="Arial" w:hAnsi="Arial"/>
          <w:sz w:val="18"/>
          <w:szCs w:val="18"/>
          <w:color w:val="auto"/>
        </w:rPr>
        <w:t>For the twenty-six weeks ended November 26, 2022, $344.8 million in net cash was provided by operating activities, compared to $15.5 million used by operating activities for the comparable period in fiscal 2022. The increase in cash flow from operating activities resulted primarily from higher selling prices for conventional and specialty eggs as well as increased volume of specialty egg sales, partially offset by increased costs of feed ingredients and processing, packaging and warehouse costs compared to the prior-year period..</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Cash Flows from Investing Activities</w:t>
      </w:r>
    </w:p>
    <w:p>
      <w:pPr>
        <w:spacing w:after="0" w:line="212" w:lineRule="exact"/>
        <w:rPr>
          <w:sz w:val="20"/>
          <w:szCs w:val="20"/>
          <w:color w:val="auto"/>
        </w:rPr>
      </w:pPr>
    </w:p>
    <w:p>
      <w:pPr>
        <w:jc w:val="both"/>
        <w:ind w:left="40" w:right="20"/>
        <w:spacing w:after="0" w:line="268" w:lineRule="auto"/>
        <w:rPr>
          <w:sz w:val="20"/>
          <w:szCs w:val="20"/>
          <w:color w:val="auto"/>
        </w:rPr>
      </w:pPr>
      <w:r>
        <w:rPr>
          <w:rFonts w:ascii="Arial" w:cs="Arial" w:eastAsia="Arial" w:hAnsi="Arial"/>
          <w:sz w:val="17"/>
          <w:szCs w:val="17"/>
          <w:color w:val="auto"/>
        </w:rPr>
        <w:t>We continue to invest in our facilities, with $59.7 million used to purchase property, plant and equipment for the twenty-six weeks ended November 26, 2022, compared to $28.6 million in the same period of fiscal 2022. Purchases of investments were $152.4 million in the second quarter of fiscal 2023, compared to $26.4 million in fiscal 2022. The increase in purchases of investments is primarily due to the increased cash provided by operating activities noted above.</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Cash Flows from Financing Activities</w:t>
      </w:r>
    </w:p>
    <w:p>
      <w:pPr>
        <w:spacing w:after="0" w:line="212" w:lineRule="exact"/>
        <w:rPr>
          <w:sz w:val="20"/>
          <w:szCs w:val="20"/>
          <w:color w:val="auto"/>
        </w:rPr>
      </w:pPr>
    </w:p>
    <w:p>
      <w:pPr>
        <w:jc w:val="both"/>
        <w:ind w:left="40" w:right="60"/>
        <w:spacing w:after="0" w:line="276" w:lineRule="auto"/>
        <w:rPr>
          <w:sz w:val="20"/>
          <w:szCs w:val="20"/>
          <w:color w:val="auto"/>
        </w:rPr>
      </w:pPr>
      <w:r>
        <w:rPr>
          <w:rFonts w:ascii="Arial" w:cs="Arial" w:eastAsia="Arial" w:hAnsi="Arial"/>
          <w:sz w:val="18"/>
          <w:szCs w:val="18"/>
          <w:color w:val="auto"/>
        </w:rPr>
        <w:t>We paid dividends of $78.4 million for the twenty-six weeks ended November 26, 2022 compared to no dividends for the prior year period.</w:t>
      </w:r>
    </w:p>
    <w:p>
      <w:pPr>
        <w:spacing w:after="0" w:line="158" w:lineRule="exact"/>
        <w:rPr>
          <w:sz w:val="20"/>
          <w:szCs w:val="20"/>
          <w:color w:val="auto"/>
        </w:rPr>
      </w:pPr>
    </w:p>
    <w:p>
      <w:pPr>
        <w:jc w:val="both"/>
        <w:ind w:left="40" w:right="60"/>
        <w:spacing w:after="0" w:line="276" w:lineRule="auto"/>
        <w:rPr>
          <w:sz w:val="20"/>
          <w:szCs w:val="20"/>
          <w:color w:val="auto"/>
        </w:rPr>
      </w:pPr>
      <w:r>
        <w:rPr>
          <w:rFonts w:ascii="Arial" w:cs="Arial" w:eastAsia="Arial" w:hAnsi="Arial"/>
          <w:sz w:val="18"/>
          <w:szCs w:val="18"/>
          <w:color w:val="auto"/>
        </w:rPr>
        <w:t>As of November 26, 2022, cash increased $119.6 million since May 28, 2022, compared to a decrease of $41.9 million during the same period of fiscal 2022.</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Credit Facility</w:t>
      </w:r>
    </w:p>
    <w:p>
      <w:pPr>
        <w:spacing w:after="0" w:line="212" w:lineRule="exact"/>
        <w:rPr>
          <w:sz w:val="20"/>
          <w:szCs w:val="20"/>
          <w:color w:val="auto"/>
        </w:rPr>
      </w:pPr>
    </w:p>
    <w:p>
      <w:pPr>
        <w:jc w:val="both"/>
        <w:ind w:left="40" w:right="40"/>
        <w:spacing w:after="0" w:line="270" w:lineRule="auto"/>
        <w:rPr>
          <w:sz w:val="20"/>
          <w:szCs w:val="20"/>
          <w:color w:val="auto"/>
        </w:rPr>
      </w:pPr>
      <w:r>
        <w:rPr>
          <w:rFonts w:ascii="Arial" w:cs="Arial" w:eastAsia="Arial" w:hAnsi="Arial"/>
          <w:sz w:val="17"/>
          <w:szCs w:val="17"/>
          <w:color w:val="auto"/>
        </w:rPr>
        <w:t>We had no long-term debt outstanding at November 26, 2022 or May 28, 2022. On November 15, 2021, we entered into a credit agreement that provides for a senior secured revolving credit facility (the “Credit Facility”), in an initial aggregate principal amount of up to $250 million with a five-year term. As of November 26, 2022, no amounts were borrowed under the Credit Facility. We have $4.1 million in outstanding standby letters of credit, issued under our Credit Facility for the benefit of certain insurance companies. Refer to Part II Item 8, Notes to the Financial Statements, Note 10 – Credit Facility included in our 2022 Annual Report for further information regarding our long-term debt.</w:t>
      </w:r>
    </w:p>
    <w:p>
      <w:pPr>
        <w:spacing w:after="0" w:line="17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Material Cash Requirements</w:t>
      </w:r>
    </w:p>
    <w:p>
      <w:pPr>
        <w:spacing w:after="0" w:line="212" w:lineRule="exact"/>
        <w:rPr>
          <w:sz w:val="20"/>
          <w:szCs w:val="20"/>
          <w:color w:val="auto"/>
        </w:rPr>
      </w:pPr>
    </w:p>
    <w:p>
      <w:pPr>
        <w:jc w:val="both"/>
        <w:ind w:left="40" w:right="100"/>
        <w:spacing w:after="0" w:line="255" w:lineRule="auto"/>
        <w:rPr>
          <w:sz w:val="20"/>
          <w:szCs w:val="20"/>
          <w:color w:val="auto"/>
        </w:rPr>
      </w:pPr>
      <w:r>
        <w:rPr>
          <w:rFonts w:ascii="Arial" w:cs="Arial" w:eastAsia="Arial" w:hAnsi="Arial"/>
          <w:sz w:val="18"/>
          <w:szCs w:val="18"/>
          <w:color w:val="auto"/>
        </w:rPr>
        <w:t>We continue to monitor the increasing demand for cage-free eggs and to engage with our customers in efforts to achieve a smooth transition toward their announced timelines for cage-free egg sales. The following table presents material construction projects approved as of November 26, 2022 (in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ind w:left="240"/>
              <w:spacing w:after="0"/>
              <w:rPr>
                <w:sz w:val="20"/>
                <w:szCs w:val="20"/>
                <w:color w:val="auto"/>
              </w:rPr>
            </w:pPr>
            <w:r>
              <w:rPr>
                <w:rFonts w:ascii="Arial" w:cs="Arial" w:eastAsia="Arial" w:hAnsi="Arial"/>
                <w:sz w:val="18"/>
                <w:szCs w:val="18"/>
                <w:color w:val="auto"/>
              </w:rPr>
              <w:t>Projected</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80" w:type="dxa"/>
            <w:vAlign w:val="bottom"/>
            <w:gridSpan w:val="2"/>
          </w:tcPr>
          <w:p>
            <w:pPr>
              <w:ind w:left="40"/>
              <w:spacing w:after="0"/>
              <w:rPr>
                <w:sz w:val="20"/>
                <w:szCs w:val="20"/>
                <w:color w:val="auto"/>
              </w:rPr>
            </w:pPr>
            <w:r>
              <w:rPr>
                <w:rFonts w:ascii="Arial" w:cs="Arial" w:eastAsia="Arial" w:hAnsi="Arial"/>
                <w:sz w:val="18"/>
                <w:szCs w:val="18"/>
                <w:color w:val="auto"/>
                <w:w w:val="90"/>
              </w:rPr>
              <w:t>Spent as of November</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ind w:right="170"/>
              <w:spacing w:after="0"/>
              <w:rPr>
                <w:sz w:val="20"/>
                <w:szCs w:val="20"/>
                <w:color w:val="auto"/>
              </w:rPr>
            </w:pPr>
            <w:r>
              <w:rPr>
                <w:rFonts w:ascii="Arial" w:cs="Arial" w:eastAsia="Arial" w:hAnsi="Arial"/>
                <w:sz w:val="18"/>
                <w:szCs w:val="18"/>
                <w:color w:val="auto"/>
              </w:rPr>
              <w:t>Remaining</w:t>
            </w:r>
          </w:p>
        </w:tc>
      </w:tr>
      <w:tr>
        <w:trPr>
          <w:trHeight w:val="216"/>
        </w:trPr>
        <w:tc>
          <w:tcPr>
            <w:tcW w:w="3580" w:type="dxa"/>
            <w:vAlign w:val="bottom"/>
          </w:tcPr>
          <w:p>
            <w:pPr>
              <w:ind w:left="1240"/>
              <w:spacing w:after="0"/>
              <w:rPr>
                <w:sz w:val="20"/>
                <w:szCs w:val="20"/>
                <w:color w:val="auto"/>
              </w:rPr>
            </w:pPr>
            <w:r>
              <w:rPr>
                <w:rFonts w:ascii="Arial" w:cs="Arial" w:eastAsia="Arial" w:hAnsi="Arial"/>
                <w:sz w:val="18"/>
                <w:szCs w:val="18"/>
                <w:color w:val="auto"/>
              </w:rPr>
              <w:t>Project(s) Type</w:t>
            </w:r>
          </w:p>
        </w:tc>
        <w:tc>
          <w:tcPr>
            <w:tcW w:w="80" w:type="dxa"/>
            <w:vAlign w:val="bottom"/>
          </w:tcPr>
          <w:p>
            <w:pPr>
              <w:spacing w:after="0"/>
              <w:rPr>
                <w:sz w:val="18"/>
                <w:szCs w:val="18"/>
                <w:color w:val="auto"/>
              </w:rPr>
            </w:pPr>
          </w:p>
        </w:tc>
        <w:tc>
          <w:tcPr>
            <w:tcW w:w="1140" w:type="dxa"/>
            <w:vAlign w:val="bottom"/>
          </w:tcPr>
          <w:p>
            <w:pPr>
              <w:ind w:left="140"/>
              <w:spacing w:after="0"/>
              <w:rPr>
                <w:sz w:val="20"/>
                <w:szCs w:val="20"/>
                <w:color w:val="auto"/>
              </w:rPr>
            </w:pPr>
            <w:r>
              <w:rPr>
                <w:rFonts w:ascii="Arial" w:cs="Arial" w:eastAsia="Arial" w:hAnsi="Arial"/>
                <w:sz w:val="18"/>
                <w:szCs w:val="18"/>
                <w:color w:val="auto"/>
              </w:rPr>
              <w:t>Completion</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gridSpan w:val="3"/>
          </w:tcPr>
          <w:p>
            <w:pPr>
              <w:ind w:left="80"/>
              <w:spacing w:after="0"/>
              <w:rPr>
                <w:sz w:val="20"/>
                <w:szCs w:val="20"/>
                <w:color w:val="auto"/>
              </w:rPr>
            </w:pPr>
            <w:r>
              <w:rPr>
                <w:rFonts w:ascii="Arial" w:cs="Arial" w:eastAsia="Arial" w:hAnsi="Arial"/>
                <w:sz w:val="18"/>
                <w:szCs w:val="18"/>
                <w:color w:val="auto"/>
                <w:w w:val="96"/>
              </w:rPr>
              <w:t>Projected Cost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ind w:right="430"/>
              <w:spacing w:after="0"/>
              <w:rPr>
                <w:sz w:val="20"/>
                <w:szCs w:val="20"/>
                <w:color w:val="auto"/>
              </w:rPr>
            </w:pPr>
            <w:r>
              <w:rPr>
                <w:rFonts w:ascii="Arial" w:cs="Arial" w:eastAsia="Arial" w:hAnsi="Arial"/>
                <w:sz w:val="18"/>
                <w:szCs w:val="18"/>
                <w:color w:val="auto"/>
              </w:rPr>
              <w:t>26, 2022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w w:val="88"/>
              </w:rPr>
              <w:t>Projected Cost</w:t>
            </w:r>
          </w:p>
        </w:tc>
      </w:tr>
      <w:tr>
        <w:trPr>
          <w:trHeight w:val="236"/>
        </w:trPr>
        <w:tc>
          <w:tcPr>
            <w:tcW w:w="35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6"/>
              </w:rPr>
              <w:t>Cage-Free Layer &amp; Pullet Houses/Processing</w:t>
            </w:r>
          </w:p>
        </w:tc>
        <w:tc>
          <w:tcPr>
            <w:tcW w:w="80" w:type="dxa"/>
            <w:vAlign w:val="bottom"/>
            <w:tcBorders>
              <w:top w:val="single" w:sz="8" w:color="CCEEFF"/>
            </w:tcBorders>
            <w:shd w:val="clear" w:color="auto" w:fill="CCEEFF"/>
          </w:tcPr>
          <w:p>
            <w:pPr>
              <w:spacing w:after="0"/>
              <w:rPr>
                <w:sz w:val="20"/>
                <w:szCs w:val="20"/>
                <w:color w:val="auto"/>
              </w:rPr>
            </w:pPr>
          </w:p>
        </w:tc>
        <w:tc>
          <w:tcPr>
            <w:tcW w:w="1140" w:type="dxa"/>
            <w:vAlign w:val="bottom"/>
            <w:tcBorders>
              <w:top w:val="single" w:sz="8" w:color="auto"/>
            </w:tcBorders>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10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52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180" w:type="dxa"/>
            <w:vAlign w:val="bottom"/>
            <w:tcBorders>
              <w:top w:val="single" w:sz="8" w:color="auto"/>
            </w:tcBorders>
            <w:shd w:val="clear" w:color="auto" w:fill="CCEEFF"/>
          </w:tcPr>
          <w:p>
            <w:pPr>
              <w:spacing w:after="0"/>
              <w:rPr>
                <w:sz w:val="20"/>
                <w:szCs w:val="20"/>
                <w:color w:val="auto"/>
              </w:rPr>
            </w:pPr>
          </w:p>
        </w:tc>
      </w:tr>
      <w:tr>
        <w:trPr>
          <w:trHeight w:val="216"/>
        </w:trPr>
        <w:tc>
          <w:tcPr>
            <w:tcW w:w="3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Facility</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Fiscal 2023</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shd w:val="clear" w:color="auto" w:fill="CCEEFF"/>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131,932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117,056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14,876</w:t>
            </w:r>
          </w:p>
        </w:tc>
      </w:tr>
      <w:tr>
        <w:trPr>
          <w:trHeight w:val="230"/>
        </w:trPr>
        <w:tc>
          <w:tcPr>
            <w:tcW w:w="3580" w:type="dxa"/>
            <w:vAlign w:val="bottom"/>
          </w:tcPr>
          <w:p>
            <w:pPr>
              <w:ind w:left="40"/>
              <w:spacing w:after="0"/>
              <w:rPr>
                <w:sz w:val="20"/>
                <w:szCs w:val="20"/>
                <w:color w:val="auto"/>
              </w:rPr>
            </w:pPr>
            <w:r>
              <w:rPr>
                <w:rFonts w:ascii="Arial" w:cs="Arial" w:eastAsia="Arial" w:hAnsi="Arial"/>
                <w:sz w:val="18"/>
                <w:szCs w:val="18"/>
                <w:color w:val="auto"/>
              </w:rPr>
              <w:t>Cage-Free Layer &amp; Pullet Houses</w:t>
            </w:r>
          </w:p>
        </w:tc>
        <w:tc>
          <w:tcPr>
            <w:tcW w:w="80" w:type="dxa"/>
            <w:vAlign w:val="bottom"/>
          </w:tcPr>
          <w:p>
            <w:pPr>
              <w:spacing w:after="0"/>
              <w:rPr>
                <w:sz w:val="19"/>
                <w:szCs w:val="19"/>
                <w:color w:val="auto"/>
              </w:rPr>
            </w:pPr>
          </w:p>
        </w:tc>
        <w:tc>
          <w:tcPr>
            <w:tcW w:w="1140" w:type="dxa"/>
            <w:vAlign w:val="bottom"/>
          </w:tcPr>
          <w:p>
            <w:pPr>
              <w:ind w:left="40"/>
              <w:spacing w:after="0"/>
              <w:rPr>
                <w:sz w:val="20"/>
                <w:szCs w:val="20"/>
                <w:color w:val="auto"/>
              </w:rPr>
            </w:pPr>
            <w:r>
              <w:rPr>
                <w:rFonts w:ascii="Arial" w:cs="Arial" w:eastAsia="Arial" w:hAnsi="Arial"/>
                <w:sz w:val="18"/>
                <w:szCs w:val="18"/>
                <w:color w:val="auto"/>
              </w:rPr>
              <w:t>Fiscal 2023</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24,640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23,325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1,315</w:t>
            </w:r>
          </w:p>
        </w:tc>
      </w:tr>
      <w:tr>
        <w:trPr>
          <w:trHeight w:val="230"/>
        </w:trPr>
        <w:tc>
          <w:tcPr>
            <w:tcW w:w="3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Cage-Free Layer &amp; Pullet Houses</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Fiscal 2024</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42,591</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2,057</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40,534</w:t>
            </w:r>
          </w:p>
        </w:tc>
      </w:tr>
      <w:tr>
        <w:trPr>
          <w:trHeight w:val="236"/>
        </w:trPr>
        <w:tc>
          <w:tcPr>
            <w:tcW w:w="3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Cage-Free Layer &amp; Pullet Houses</w:t>
            </w:r>
          </w:p>
        </w:tc>
        <w:tc>
          <w:tcPr>
            <w:tcW w:w="80" w:type="dxa"/>
            <w:vAlign w:val="bottom"/>
            <w:tcBorders>
              <w:bottom w:val="single" w:sz="8" w:color="CCEEFF"/>
            </w:tcBorders>
          </w:tcPr>
          <w:p>
            <w:pPr>
              <w:spacing w:after="0"/>
              <w:rPr>
                <w:sz w:val="20"/>
                <w:szCs w:val="20"/>
                <w:color w:val="auto"/>
              </w:rPr>
            </w:pPr>
          </w:p>
        </w:tc>
        <w:tc>
          <w:tcPr>
            <w:tcW w:w="11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Fiscal 2025</w:t>
            </w:r>
          </w:p>
        </w:tc>
        <w:tc>
          <w:tcPr>
            <w:tcW w:w="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95,806</w:t>
            </w: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22,526</w:t>
            </w: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73,280</w:t>
            </w:r>
          </w:p>
        </w:tc>
      </w:tr>
      <w:tr>
        <w:trPr>
          <w:trHeight w:val="216"/>
        </w:trPr>
        <w:tc>
          <w:tcPr>
            <w:tcW w:w="3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shd w:val="clear" w:color="auto" w:fill="CCEEFF"/>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294,969</w:t>
            </w:r>
          </w:p>
        </w:tc>
        <w:tc>
          <w:tcPr>
            <w:tcW w:w="2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9"/>
                <w:shd w:val="clear" w:color="auto" w:fill="CCEEFF"/>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164,964</w:t>
            </w:r>
          </w:p>
        </w:tc>
        <w:tc>
          <w:tcPr>
            <w:tcW w:w="2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shd w:val="clear" w:color="auto" w:fill="CCEEFF"/>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130,005</w:t>
            </w:r>
          </w:p>
        </w:tc>
      </w:tr>
      <w:tr>
        <w:trPr>
          <w:trHeight w:val="20"/>
        </w:trPr>
        <w:tc>
          <w:tcPr>
            <w:tcW w:w="3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jc w:val="both"/>
        <w:ind w:left="40" w:right="80"/>
        <w:spacing w:after="0" w:line="276" w:lineRule="auto"/>
        <w:rPr>
          <w:sz w:val="20"/>
          <w:szCs w:val="20"/>
          <w:color w:val="auto"/>
        </w:rPr>
      </w:pPr>
      <w:r>
        <w:rPr>
          <w:rFonts w:ascii="Arial" w:cs="Arial" w:eastAsia="Arial" w:hAnsi="Arial"/>
          <w:sz w:val="18"/>
          <w:szCs w:val="18"/>
          <w:color w:val="auto"/>
        </w:rPr>
        <w:t>We believe our current cash balances, investments, cash flows from operations, and Credit Facility will be sufficient to fund our current cash needs for at least the next 12 months.</w:t>
      </w:r>
    </w:p>
    <w:p>
      <w:pPr>
        <w:sectPr>
          <w:pgSz w:w="11900" w:h="16838" w:orient="portrait"/>
          <w:cols w:equalWidth="0" w:num="1">
            <w:col w:w="9340"/>
          </w:cols>
          <w:pgMar w:left="1280" w:top="315"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9340"/>
          </w:cols>
          <w:pgMar w:left="1280" w:top="315" w:right="1279" w:bottom="1440" w:gutter="0" w:footer="0" w:header="0"/>
          <w:type w:val="continuous"/>
        </w:sectPr>
      </w:pPr>
    </w:p>
    <w:bookmarkStart w:id="27" w:name="page28"/>
    <w:bookmarkEnd w:id="27"/>
    <w:p>
      <w:pPr>
        <w:jc w:val="center"/>
        <w:ind w:right="20"/>
        <w:spacing w:after="0"/>
        <w:rPr>
          <w:sz w:val="20"/>
          <w:szCs w:val="20"/>
          <w:color w:val="auto"/>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IMPACT OF RECENTLY ISSUED/ADOPTED ACCOUNTING STANDARDS</w:t>
      </w:r>
    </w:p>
    <w:p>
      <w:pPr>
        <w:spacing w:after="0" w:line="225" w:lineRule="exact"/>
        <w:rPr>
          <w:sz w:val="20"/>
          <w:szCs w:val="20"/>
          <w:color w:val="auto"/>
        </w:rPr>
      </w:pPr>
    </w:p>
    <w:p>
      <w:pPr>
        <w:jc w:val="both"/>
        <w:ind w:right="40"/>
        <w:spacing w:after="0" w:line="307" w:lineRule="auto"/>
        <w:rPr>
          <w:sz w:val="20"/>
          <w:szCs w:val="20"/>
          <w:color w:val="auto"/>
        </w:rPr>
      </w:pPr>
      <w:r>
        <w:rPr>
          <w:rFonts w:ascii="Arial" w:cs="Arial" w:eastAsia="Arial" w:hAnsi="Arial"/>
          <w:sz w:val="17"/>
          <w:szCs w:val="17"/>
          <w:color w:val="auto"/>
        </w:rPr>
        <w:t xml:space="preserve">For information on changes in accounting principles and new accounting policies, see </w:t>
      </w:r>
      <w:r>
        <w:rPr>
          <w:rFonts w:ascii="Arial" w:cs="Arial" w:eastAsia="Arial" w:hAnsi="Arial"/>
          <w:sz w:val="17"/>
          <w:szCs w:val="17"/>
          <w:u w:val="single" w:color="auto"/>
          <w:color w:val="0000FF"/>
        </w:rPr>
        <w:t>Note 1 - Summary of Significant</w:t>
      </w:r>
      <w:r>
        <w:rPr>
          <w:rFonts w:ascii="Arial" w:cs="Arial" w:eastAsia="Arial" w:hAnsi="Arial"/>
          <w:sz w:val="17"/>
          <w:szCs w:val="17"/>
          <w:color w:val="auto"/>
        </w:rPr>
        <w:t xml:space="preserve"> </w:t>
      </w:r>
      <w:r>
        <w:rPr>
          <w:rFonts w:ascii="Arial" w:cs="Arial" w:eastAsia="Arial" w:hAnsi="Arial"/>
          <w:sz w:val="17"/>
          <w:szCs w:val="17"/>
          <w:u w:val="single" w:color="auto"/>
          <w:color w:val="0000FF"/>
        </w:rPr>
        <w:t>Accounting Policies</w:t>
      </w:r>
      <w:r>
        <w:rPr>
          <w:rFonts w:ascii="Arial" w:cs="Arial" w:eastAsia="Arial" w:hAnsi="Arial"/>
          <w:sz w:val="17"/>
          <w:szCs w:val="17"/>
          <w:color w:val="0000FF"/>
        </w:rPr>
        <w:t xml:space="preserve"> </w:t>
      </w:r>
      <w:r>
        <w:rPr>
          <w:rFonts w:ascii="Arial" w:cs="Arial" w:eastAsia="Arial" w:hAnsi="Arial"/>
          <w:sz w:val="17"/>
          <w:szCs w:val="17"/>
          <w:color w:val="000000"/>
        </w:rPr>
        <w:t>of the Notes to Condensed Consolidated Financial Statements included in this Quarterly Report.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CRITICAL ACCOUNTING ESTIMATES</w:t>
      </w:r>
    </w:p>
    <w:p>
      <w:pPr>
        <w:spacing w:after="0" w:line="225"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Critical accounting estimates are those estimates made in accordance with U.S. generally accepted accounting principles that involve a significant level of estimation uncertainty and have had or are reasonably likely to have a material impact on our financial condition or results of operations. There have been no changes to our critical accounting estimates identified in our 2022 Annual Report.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ind w:right="360"/>
        <w:spacing w:after="0" w:line="255" w:lineRule="auto"/>
        <w:rPr>
          <w:sz w:val="20"/>
          <w:szCs w:val="20"/>
          <w:color w:val="auto"/>
        </w:rPr>
      </w:pPr>
      <w:r>
        <w:rPr>
          <w:rFonts w:ascii="Arial" w:cs="Arial" w:eastAsia="Arial" w:hAnsi="Arial"/>
          <w:sz w:val="18"/>
          <w:szCs w:val="18"/>
          <w:color w:val="auto"/>
        </w:rPr>
        <w:t>There have been no material changes in our exposure to market risk during the twenty-six weeks ended November 26, 2022 from the information provided in Part II Item 7A Quantitative and Qualitative Disclosures About Market Risk in our 2022 Annual Report.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Our disclosure controls and procedures are designed to provide reasonable assurance that information required to be disclosed by us in the reports we file or submit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us in the reports that we file or submit under the Exchange Act is accumulated and communicated to management, including our principal executive and principal financial officers, or persons performing similar functions, as appropriate to allow timely decisions regarding required disclosure. Based on an evaluation of our disclosure controls and procedures conducted by our Chief Executive Officer and Chief Financial Officer, together with other financial officers, such officers concluded that our disclosure controls and procedures were effective as of November 26, 2022 at the reasonable assurance level.</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20"/>
        <w:spacing w:after="0" w:line="307" w:lineRule="auto"/>
        <w:rPr>
          <w:sz w:val="20"/>
          <w:szCs w:val="20"/>
          <w:color w:val="auto"/>
        </w:rPr>
      </w:pPr>
      <w:r>
        <w:rPr>
          <w:rFonts w:ascii="Arial" w:cs="Arial" w:eastAsia="Arial" w:hAnsi="Arial"/>
          <w:sz w:val="17"/>
          <w:szCs w:val="17"/>
          <w:color w:val="auto"/>
        </w:rPr>
        <w:t>There was no change in our internal control over financial reporting that occurred during the quarter ended November 26, 2022 that has materially affected, or is reasonably likely to materially affect, our internal control over financial reporting.</w:t>
      </w:r>
    </w:p>
    <w:p>
      <w:pPr>
        <w:sectPr>
          <w:pgSz w:w="11900" w:h="16838" w:orient="portrait"/>
          <w:cols w:equalWidth="0" w:num="1">
            <w:col w:w="9260"/>
          </w:cols>
          <w:pgMar w:left="1320" w:top="315"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9260"/>
          </w:cols>
          <w:pgMar w:left="1320" w:top="315" w:right="1319" w:bottom="1440" w:gutter="0" w:footer="0" w:header="0"/>
          <w:type w:val="continuous"/>
        </w:sectPr>
      </w:pPr>
    </w:p>
    <w:bookmarkStart w:id="28" w:name="page29"/>
    <w:bookmarkEnd w:id="28"/>
    <w:p>
      <w:pPr>
        <w:jc w:val="center"/>
        <w:spacing w:after="0"/>
        <w:rPr>
          <w:sz w:val="20"/>
          <w:szCs w:val="20"/>
          <w:color w:val="auto"/>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7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left="40"/>
        <w:spacing w:after="0" w:line="295" w:lineRule="auto"/>
        <w:rPr>
          <w:sz w:val="20"/>
          <w:szCs w:val="20"/>
          <w:color w:val="auto"/>
        </w:rPr>
      </w:pPr>
      <w:r>
        <w:rPr>
          <w:rFonts w:ascii="Arial" w:cs="Arial" w:eastAsia="Arial" w:hAnsi="Arial"/>
          <w:sz w:val="16"/>
          <w:szCs w:val="16"/>
          <w:color w:val="auto"/>
        </w:rPr>
        <w:t xml:space="preserve">Refer to the discussion of certain legal proceedings involving the Company and/or its subsidiaries in (i) our 2022 Annual Report, Part I Item 3 Legal Proceedings, and Part II Item 8, Notes to Consolidated Financial Statements and Supplementary Data, Note 18: Commitments and Contingencies, and (ii) in this Quarterly Report in </w:t>
      </w:r>
      <w:r>
        <w:rPr>
          <w:rFonts w:ascii="Arial" w:cs="Arial" w:eastAsia="Arial" w:hAnsi="Arial"/>
          <w:sz w:val="16"/>
          <w:szCs w:val="16"/>
          <w:u w:val="single" w:color="auto"/>
          <w:color w:val="0000FF"/>
        </w:rPr>
        <w:t>Note 9: Commitments and Contingencies</w:t>
      </w:r>
      <w:r>
        <w:rPr>
          <w:rFonts w:ascii="Arial" w:cs="Arial" w:eastAsia="Arial" w:hAnsi="Arial"/>
          <w:sz w:val="16"/>
          <w:szCs w:val="16"/>
          <w:color w:val="auto"/>
        </w:rPr>
        <w:t xml:space="preserve"> of the Notes to Condensed Consolidated Financial Statements, which discussions are incorporated herein by reference.</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There have been no material changes in the risk factors previously disclosed in the Company’s 2022 Annual Report.</w:t>
      </w:r>
    </w:p>
    <w:p>
      <w:pPr>
        <w:spacing w:after="0" w:line="20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16" w:lineRule="exact"/>
        <w:rPr>
          <w:sz w:val="20"/>
          <w:szCs w:val="20"/>
          <w:color w:val="auto"/>
        </w:rPr>
      </w:pPr>
    </w:p>
    <w:p>
      <w:pPr>
        <w:ind w:left="40" w:right="60"/>
        <w:spacing w:after="0" w:line="276" w:lineRule="auto"/>
        <w:rPr>
          <w:sz w:val="20"/>
          <w:szCs w:val="20"/>
          <w:color w:val="auto"/>
        </w:rPr>
      </w:pPr>
      <w:r>
        <w:rPr>
          <w:rFonts w:ascii="Arial" w:cs="Arial" w:eastAsia="Arial" w:hAnsi="Arial"/>
          <w:sz w:val="18"/>
          <w:szCs w:val="18"/>
          <w:color w:val="auto"/>
        </w:rPr>
        <w:t>There were no purchases of our Common Stock made by or on behalf of our Company or any affiliated purchaser during the second quarter of fiscal 2023.</w:t>
      </w:r>
    </w:p>
    <w:p>
      <w:pPr>
        <w:spacing w:after="0" w:line="15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auto"/>
              </w:rPr>
              <w:t>Exhibits</w:t>
            </w:r>
          </w:p>
        </w:tc>
        <w:tc>
          <w:tcPr>
            <w:tcW w:w="8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89"/>
        </w:trPr>
        <w:tc>
          <w:tcPr>
            <w:tcW w:w="40" w:type="dxa"/>
            <w:vAlign w:val="bottom"/>
          </w:tcPr>
          <w:p>
            <w:pPr>
              <w:spacing w:after="0"/>
              <w:rPr>
                <w:sz w:val="16"/>
                <w:szCs w:val="16"/>
                <w:color w:val="auto"/>
              </w:rPr>
            </w:pPr>
          </w:p>
        </w:tc>
        <w:tc>
          <w:tcPr>
            <w:tcW w:w="1460" w:type="dxa"/>
            <w:vAlign w:val="bottom"/>
            <w:gridSpan w:val="2"/>
          </w:tcPr>
          <w:p>
            <w:pPr>
              <w:spacing w:after="0" w:line="189" w:lineRule="exact"/>
              <w:rPr>
                <w:sz w:val="20"/>
                <w:szCs w:val="20"/>
                <w:color w:val="auto"/>
              </w:rPr>
            </w:pPr>
            <w:r>
              <w:rPr>
                <w:rFonts w:ascii="Arial" w:cs="Arial" w:eastAsia="Arial" w:hAnsi="Arial"/>
                <w:sz w:val="18"/>
                <w:szCs w:val="18"/>
                <w:color w:val="auto"/>
              </w:rPr>
              <w:t>No.</w:t>
            </w:r>
          </w:p>
        </w:tc>
        <w:tc>
          <w:tcPr>
            <w:tcW w:w="7840" w:type="dxa"/>
            <w:vAlign w:val="bottom"/>
            <w:gridSpan w:val="17"/>
          </w:tcPr>
          <w:p>
            <w:pPr>
              <w:spacing w:after="0" w:line="189" w:lineRule="exact"/>
              <w:rPr>
                <w:sz w:val="20"/>
                <w:szCs w:val="20"/>
                <w:color w:val="auto"/>
              </w:rPr>
            </w:pPr>
            <w:r>
              <w:rPr>
                <w:rFonts w:ascii="Arial" w:cs="Arial" w:eastAsia="Arial" w:hAnsi="Arial"/>
                <w:sz w:val="18"/>
                <w:szCs w:val="18"/>
                <w:color w:val="auto"/>
              </w:rPr>
              <w:t>Description</w:t>
            </w:r>
          </w:p>
        </w:tc>
      </w:tr>
      <w:tr>
        <w:trPr>
          <w:trHeight w:val="27"/>
        </w:trPr>
        <w:tc>
          <w:tcPr>
            <w:tcW w:w="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00" w:type="dxa"/>
            <w:vAlign w:val="bottom"/>
          </w:tcPr>
          <w:p>
            <w:pPr>
              <w:spacing w:after="0"/>
              <w:rPr>
                <w:sz w:val="2"/>
                <w:szCs w:val="2"/>
                <w:color w:val="auto"/>
              </w:rPr>
            </w:pPr>
          </w:p>
        </w:tc>
        <w:tc>
          <w:tcPr>
            <w:tcW w:w="2620" w:type="dxa"/>
            <w:vAlign w:val="bottom"/>
            <w:gridSpan w:val="2"/>
            <w:shd w:val="clear" w:color="auto" w:fill="000000"/>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75"/>
        </w:trPr>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5"/>
              </w:rPr>
              <w:t>3.1</w:t>
            </w:r>
          </w:p>
        </w:tc>
        <w:tc>
          <w:tcPr>
            <w:tcW w:w="1200" w:type="dxa"/>
            <w:vAlign w:val="bottom"/>
            <w:shd w:val="clear" w:color="auto" w:fill="CCEEFF"/>
          </w:tcPr>
          <w:p>
            <w:pPr>
              <w:spacing w:after="0"/>
              <w:rPr>
                <w:sz w:val="15"/>
                <w:szCs w:val="15"/>
                <w:color w:val="auto"/>
              </w:rPr>
            </w:pPr>
          </w:p>
        </w:tc>
        <w:tc>
          <w:tcPr>
            <w:tcW w:w="7840" w:type="dxa"/>
            <w:vAlign w:val="bottom"/>
            <w:gridSpan w:val="17"/>
            <w:shd w:val="clear" w:color="auto" w:fill="CCEEFF"/>
          </w:tcPr>
          <w:p>
            <w:pPr>
              <w:spacing w:after="0" w:line="176" w:lineRule="exact"/>
              <w:rPr>
                <w:rFonts w:ascii="Arial" w:cs="Arial" w:eastAsia="Arial" w:hAnsi="Arial"/>
                <w:sz w:val="18"/>
                <w:szCs w:val="18"/>
                <w:color w:val="0000FF"/>
                <w:w w:val="92"/>
              </w:rPr>
            </w:pPr>
            <w:hyperlink r:id="rId37">
              <w:r>
                <w:rPr>
                  <w:rFonts w:ascii="Arial" w:cs="Arial" w:eastAsia="Arial" w:hAnsi="Arial"/>
                  <w:sz w:val="18"/>
                  <w:szCs w:val="18"/>
                  <w:color w:val="0000FF"/>
                  <w:w w:val="92"/>
                </w:rPr>
                <w:t>Second Amended and Restated Certificate of Incorporation of the Registrant (incorporated by reference to</w:t>
              </w:r>
            </w:hyperlink>
          </w:p>
        </w:tc>
      </w:tr>
      <w:tr>
        <w:trPr>
          <w:trHeight w:val="196"/>
        </w:trPr>
        <w:tc>
          <w:tcPr>
            <w:tcW w:w="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CCEEFF"/>
            </w:tcBorders>
            <w:shd w:val="clear" w:color="auto" w:fill="CCEEFF"/>
          </w:tcPr>
          <w:p>
            <w:pPr>
              <w:spacing w:after="0"/>
              <w:rPr>
                <w:sz w:val="17"/>
                <w:szCs w:val="17"/>
                <w:color w:val="auto"/>
              </w:rPr>
            </w:pPr>
          </w:p>
        </w:tc>
        <w:tc>
          <w:tcPr>
            <w:tcW w:w="5540" w:type="dxa"/>
            <w:vAlign w:val="bottom"/>
            <w:tcBorders>
              <w:top w:val="single" w:sz="8" w:color="0000FF"/>
            </w:tcBorders>
            <w:gridSpan w:val="10"/>
            <w:shd w:val="clear" w:color="auto" w:fill="CCEEFF"/>
          </w:tcPr>
          <w:p>
            <w:pPr>
              <w:spacing w:after="0" w:line="196" w:lineRule="exact"/>
              <w:rPr>
                <w:rFonts w:ascii="Arial" w:cs="Arial" w:eastAsia="Arial" w:hAnsi="Arial"/>
                <w:sz w:val="18"/>
                <w:szCs w:val="18"/>
                <w:color w:val="0000FF"/>
              </w:rPr>
            </w:pPr>
            <w:hyperlink r:id="rId37">
              <w:r>
                <w:rPr>
                  <w:rFonts w:ascii="Arial" w:cs="Arial" w:eastAsia="Arial" w:hAnsi="Arial"/>
                  <w:sz w:val="18"/>
                  <w:szCs w:val="18"/>
                  <w:color w:val="0000FF"/>
                </w:rPr>
                <w:t>Exhibit 3.1 in the Registrant’s Form 8-K, filed July 20, 2018)</w:t>
              </w:r>
            </w:hyperlink>
          </w:p>
        </w:tc>
        <w:tc>
          <w:tcPr>
            <w:tcW w:w="20" w:type="dxa"/>
            <w:vAlign w:val="bottom"/>
            <w:tcBorders>
              <w:top w:val="single" w:sz="8" w:color="CCEEFF"/>
            </w:tcBorders>
            <w:shd w:val="clear" w:color="auto" w:fill="CCEEFF"/>
          </w:tcPr>
          <w:p>
            <w:pPr>
              <w:spacing w:after="0"/>
              <w:rPr>
                <w:sz w:val="17"/>
                <w:szCs w:val="17"/>
                <w:color w:val="auto"/>
              </w:rPr>
            </w:pPr>
          </w:p>
        </w:tc>
        <w:tc>
          <w:tcPr>
            <w:tcW w:w="2080" w:type="dxa"/>
            <w:vAlign w:val="bottom"/>
            <w:tcBorders>
              <w:top w:val="single" w:sz="8" w:color="0000FF"/>
            </w:tcBorders>
            <w:gridSpan w:val="4"/>
            <w:shd w:val="clear" w:color="auto" w:fill="CCEEFF"/>
          </w:tcPr>
          <w:p>
            <w:pPr>
              <w:spacing w:after="0"/>
              <w:rPr>
                <w:sz w:val="17"/>
                <w:szCs w:val="17"/>
                <w:color w:val="auto"/>
              </w:rPr>
            </w:pPr>
          </w:p>
        </w:tc>
        <w:tc>
          <w:tcPr>
            <w:tcW w:w="200" w:type="dxa"/>
            <w:vAlign w:val="bottom"/>
            <w:tcBorders>
              <w:top w:val="single" w:sz="8" w:color="CCEEFF"/>
            </w:tcBorders>
            <w:gridSpan w:val="2"/>
            <w:shd w:val="clear" w:color="auto" w:fill="CCEEFF"/>
          </w:tcPr>
          <w:p>
            <w:pPr>
              <w:spacing w:after="0"/>
              <w:rPr>
                <w:sz w:val="17"/>
                <w:szCs w:val="17"/>
                <w:color w:val="auto"/>
              </w:rPr>
            </w:pPr>
          </w:p>
        </w:tc>
      </w:tr>
      <w:tr>
        <w:trPr>
          <w:trHeight w:val="27"/>
        </w:trPr>
        <w:tc>
          <w:tcPr>
            <w:tcW w:w="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820" w:type="dxa"/>
            <w:vAlign w:val="bottom"/>
            <w:shd w:val="clear" w:color="auto" w:fill="0000FF"/>
          </w:tcPr>
          <w:p>
            <w:pPr>
              <w:spacing w:after="0"/>
              <w:rPr>
                <w:sz w:val="2"/>
                <w:szCs w:val="2"/>
                <w:color w:val="auto"/>
              </w:rPr>
            </w:pPr>
          </w:p>
        </w:tc>
        <w:tc>
          <w:tcPr>
            <w:tcW w:w="1800" w:type="dxa"/>
            <w:vAlign w:val="bottom"/>
            <w:shd w:val="clear" w:color="auto" w:fill="0000FF"/>
          </w:tcPr>
          <w:p>
            <w:pPr>
              <w:spacing w:after="0"/>
              <w:rPr>
                <w:sz w:val="2"/>
                <w:szCs w:val="2"/>
                <w:color w:val="auto"/>
              </w:rPr>
            </w:pPr>
          </w:p>
        </w:tc>
        <w:tc>
          <w:tcPr>
            <w:tcW w:w="1460" w:type="dxa"/>
            <w:vAlign w:val="bottom"/>
            <w:tcBorders>
              <w:left w:val="single" w:sz="8" w:color="CCEE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0" w:type="dxa"/>
            <w:vAlign w:val="bottom"/>
            <w:tcBorders>
              <w:right w:val="single" w:sz="8" w:color="0000FF"/>
            </w:tcBorders>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175"/>
        </w:trPr>
        <w:tc>
          <w:tcPr>
            <w:tcW w:w="40" w:type="dxa"/>
            <w:vAlign w:val="bottom"/>
          </w:tcPr>
          <w:p>
            <w:pPr>
              <w:spacing w:after="0"/>
              <w:rPr>
                <w:sz w:val="15"/>
                <w:szCs w:val="15"/>
                <w:color w:val="auto"/>
              </w:rPr>
            </w:pPr>
          </w:p>
        </w:tc>
        <w:tc>
          <w:tcPr>
            <w:tcW w:w="260" w:type="dxa"/>
            <w:vAlign w:val="bottom"/>
          </w:tcPr>
          <w:p>
            <w:pPr>
              <w:spacing w:after="0" w:line="176" w:lineRule="exact"/>
              <w:rPr>
                <w:sz w:val="20"/>
                <w:szCs w:val="20"/>
                <w:color w:val="auto"/>
              </w:rPr>
            </w:pPr>
            <w:r>
              <w:rPr>
                <w:rFonts w:ascii="Arial" w:cs="Arial" w:eastAsia="Arial" w:hAnsi="Arial"/>
                <w:sz w:val="18"/>
                <w:szCs w:val="18"/>
                <w:color w:val="auto"/>
                <w:w w:val="95"/>
              </w:rPr>
              <w:t>3.2</w:t>
            </w:r>
          </w:p>
        </w:tc>
        <w:tc>
          <w:tcPr>
            <w:tcW w:w="1200" w:type="dxa"/>
            <w:vAlign w:val="bottom"/>
          </w:tcPr>
          <w:p>
            <w:pPr>
              <w:spacing w:after="0"/>
              <w:rPr>
                <w:sz w:val="15"/>
                <w:szCs w:val="15"/>
                <w:color w:val="auto"/>
              </w:rPr>
            </w:pPr>
          </w:p>
        </w:tc>
        <w:tc>
          <w:tcPr>
            <w:tcW w:w="7840" w:type="dxa"/>
            <w:vAlign w:val="bottom"/>
            <w:gridSpan w:val="17"/>
          </w:tcPr>
          <w:p>
            <w:pPr>
              <w:spacing w:after="0" w:line="176" w:lineRule="exact"/>
              <w:rPr>
                <w:rFonts w:ascii="Arial" w:cs="Arial" w:eastAsia="Arial" w:hAnsi="Arial"/>
                <w:sz w:val="18"/>
                <w:szCs w:val="18"/>
                <w:color w:val="0000FF"/>
                <w:w w:val="92"/>
              </w:rPr>
            </w:pPr>
            <w:hyperlink r:id="rId38">
              <w:r>
                <w:rPr>
                  <w:rFonts w:ascii="Arial" w:cs="Arial" w:eastAsia="Arial" w:hAnsi="Arial"/>
                  <w:sz w:val="18"/>
                  <w:szCs w:val="18"/>
                  <w:color w:val="0000FF"/>
                  <w:w w:val="92"/>
                </w:rPr>
                <w:t>Composite Bylaws of the Company (incorporated by reference to Exhibit 3.2 in the Registrant’s Form 10-Q</w:t>
              </w:r>
            </w:hyperlink>
          </w:p>
        </w:tc>
      </w:tr>
      <w:tr>
        <w:trPr>
          <w:trHeight w:val="190"/>
        </w:trPr>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080" w:type="dxa"/>
            <w:vAlign w:val="bottom"/>
            <w:tcBorders>
              <w:top w:val="single" w:sz="8" w:color="0000FF"/>
              <w:bottom w:val="single" w:sz="8" w:color="0000FF"/>
            </w:tcBorders>
            <w:gridSpan w:val="3"/>
          </w:tcPr>
          <w:p>
            <w:pPr>
              <w:spacing w:after="0" w:line="182" w:lineRule="exact"/>
              <w:rPr>
                <w:rFonts w:ascii="Arial" w:cs="Arial" w:eastAsia="Arial" w:hAnsi="Arial"/>
                <w:sz w:val="18"/>
                <w:szCs w:val="18"/>
                <w:color w:val="0000FF"/>
                <w:w w:val="91"/>
              </w:rPr>
            </w:pPr>
            <w:hyperlink r:id="rId38">
              <w:r>
                <w:rPr>
                  <w:rFonts w:ascii="Arial" w:cs="Arial" w:eastAsia="Arial" w:hAnsi="Arial"/>
                  <w:sz w:val="18"/>
                  <w:szCs w:val="18"/>
                  <w:color w:val="0000FF"/>
                  <w:w w:val="91"/>
                </w:rPr>
                <w:t>for the quarter ended March 2, 2013, filed April 5, 2013)</w:t>
              </w:r>
            </w:hyperlink>
          </w:p>
        </w:tc>
        <w:tc>
          <w:tcPr>
            <w:tcW w:w="1220" w:type="dxa"/>
            <w:vAlign w:val="bottom"/>
            <w:tcBorders>
              <w:top w:val="single" w:sz="8" w:color="0000FF"/>
            </w:tcBorders>
            <w:gridSpan w:val="5"/>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tcBorders>
              <w:top w:val="single" w:sz="8" w:color="0000FF"/>
            </w:tcBorders>
            <w:gridSpan w:val="3"/>
          </w:tcPr>
          <w:p>
            <w:pPr>
              <w:spacing w:after="0"/>
              <w:rPr>
                <w:sz w:val="16"/>
                <w:szCs w:val="16"/>
                <w:color w:val="auto"/>
              </w:rPr>
            </w:pPr>
          </w:p>
        </w:tc>
        <w:tc>
          <w:tcPr>
            <w:tcW w:w="960" w:type="dxa"/>
            <w:vAlign w:val="bottom"/>
            <w:tcBorders>
              <w:top w:val="single" w:sz="8" w:color="0000FF"/>
            </w:tcBorders>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Borders>
              <w:top w:val="single" w:sz="8" w:color="0000FF"/>
            </w:tcBorders>
            <w:gridSpan w:val="2"/>
          </w:tcPr>
          <w:p>
            <w:pPr>
              <w:spacing w:after="0"/>
              <w:rPr>
                <w:sz w:val="16"/>
                <w:szCs w:val="16"/>
                <w:color w:val="auto"/>
              </w:rPr>
            </w:pPr>
          </w:p>
        </w:tc>
        <w:tc>
          <w:tcPr>
            <w:tcW w:w="80" w:type="dxa"/>
            <w:vAlign w:val="bottom"/>
          </w:tcPr>
          <w:p>
            <w:pPr>
              <w:spacing w:after="0"/>
              <w:rPr>
                <w:sz w:val="16"/>
                <w:szCs w:val="16"/>
                <w:color w:val="auto"/>
              </w:rPr>
            </w:pPr>
          </w:p>
        </w:tc>
      </w:tr>
      <w:tr>
        <w:trPr>
          <w:trHeight w:val="196"/>
        </w:trPr>
        <w:tc>
          <w:tcPr>
            <w:tcW w:w="4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31.1*</w:t>
            </w:r>
          </w:p>
        </w:tc>
        <w:tc>
          <w:tcPr>
            <w:tcW w:w="4260" w:type="dxa"/>
            <w:vAlign w:val="bottom"/>
            <w:tcBorders>
              <w:bottom w:val="single" w:sz="8" w:color="0000FF"/>
            </w:tcBorders>
            <w:gridSpan w:val="6"/>
            <w:shd w:val="clear" w:color="auto" w:fill="CCEEFF"/>
          </w:tcPr>
          <w:p>
            <w:pPr>
              <w:spacing w:after="0" w:line="189" w:lineRule="exact"/>
              <w:rPr>
                <w:sz w:val="20"/>
                <w:szCs w:val="20"/>
                <w:color w:val="auto"/>
              </w:rPr>
            </w:pPr>
            <w:r>
              <w:rPr>
                <w:rFonts w:ascii="Arial" w:cs="Arial" w:eastAsia="Arial" w:hAnsi="Arial"/>
                <w:sz w:val="18"/>
                <w:szCs w:val="18"/>
                <w:color w:val="0000FF"/>
                <w:w w:val="92"/>
              </w:rPr>
              <w:t>Rule 13a-14(a) Certification of the Chief Executive Officer</w:t>
            </w:r>
          </w:p>
        </w:tc>
        <w:tc>
          <w:tcPr>
            <w:tcW w:w="3580" w:type="dxa"/>
            <w:vAlign w:val="bottom"/>
            <w:tcBorders>
              <w:bottom w:val="single" w:sz="8" w:color="CCEEFF"/>
            </w:tcBorders>
            <w:gridSpan w:val="11"/>
            <w:shd w:val="clear" w:color="auto" w:fill="CCEEFF"/>
          </w:tcPr>
          <w:p>
            <w:pPr>
              <w:spacing w:after="0"/>
              <w:rPr>
                <w:sz w:val="17"/>
                <w:szCs w:val="17"/>
                <w:color w:val="auto"/>
              </w:rPr>
            </w:pPr>
          </w:p>
        </w:tc>
      </w:tr>
      <w:tr>
        <w:trPr>
          <w:trHeight w:val="175"/>
        </w:trPr>
        <w:tc>
          <w:tcPr>
            <w:tcW w:w="40" w:type="dxa"/>
            <w:vAlign w:val="bottom"/>
          </w:tcPr>
          <w:p>
            <w:pPr>
              <w:spacing w:after="0"/>
              <w:rPr>
                <w:sz w:val="15"/>
                <w:szCs w:val="15"/>
                <w:color w:val="auto"/>
              </w:rPr>
            </w:pPr>
          </w:p>
        </w:tc>
        <w:tc>
          <w:tcPr>
            <w:tcW w:w="1460" w:type="dxa"/>
            <w:vAlign w:val="bottom"/>
            <w:gridSpan w:val="2"/>
          </w:tcPr>
          <w:p>
            <w:pPr>
              <w:spacing w:after="0" w:line="176" w:lineRule="exact"/>
              <w:rPr>
                <w:sz w:val="20"/>
                <w:szCs w:val="20"/>
                <w:color w:val="auto"/>
              </w:rPr>
            </w:pPr>
            <w:r>
              <w:rPr>
                <w:rFonts w:ascii="Arial" w:cs="Arial" w:eastAsia="Arial" w:hAnsi="Arial"/>
                <w:sz w:val="18"/>
                <w:szCs w:val="18"/>
                <w:color w:val="auto"/>
              </w:rPr>
              <w:t>31.2*</w:t>
            </w:r>
          </w:p>
        </w:tc>
        <w:tc>
          <w:tcPr>
            <w:tcW w:w="7840" w:type="dxa"/>
            <w:vAlign w:val="bottom"/>
            <w:gridSpan w:val="17"/>
          </w:tcPr>
          <w:p>
            <w:pPr>
              <w:spacing w:after="0" w:line="176" w:lineRule="exact"/>
              <w:rPr>
                <w:sz w:val="20"/>
                <w:szCs w:val="20"/>
                <w:color w:val="auto"/>
              </w:rPr>
            </w:pPr>
            <w:r>
              <w:rPr>
                <w:rFonts w:ascii="Arial" w:cs="Arial" w:eastAsia="Arial" w:hAnsi="Arial"/>
                <w:sz w:val="18"/>
                <w:szCs w:val="18"/>
                <w:color w:val="0000FF"/>
              </w:rPr>
              <w:t>Rule 13a-14(a) Certification of the Chief Financial Officer</w:t>
            </w:r>
          </w:p>
        </w:tc>
      </w:tr>
      <w:tr>
        <w:trPr>
          <w:trHeight w:val="27"/>
        </w:trPr>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20" w:type="dxa"/>
            <w:vAlign w:val="bottom"/>
            <w:shd w:val="clear" w:color="auto" w:fill="0000FF"/>
          </w:tcPr>
          <w:p>
            <w:pPr>
              <w:spacing w:after="0"/>
              <w:rPr>
                <w:sz w:val="2"/>
                <w:szCs w:val="2"/>
                <w:color w:val="auto"/>
              </w:rPr>
            </w:pPr>
          </w:p>
        </w:tc>
        <w:tc>
          <w:tcPr>
            <w:tcW w:w="1800" w:type="dxa"/>
            <w:vAlign w:val="bottom"/>
            <w:shd w:val="clear" w:color="auto" w:fill="0000FF"/>
          </w:tcPr>
          <w:p>
            <w:pPr>
              <w:spacing w:after="0"/>
              <w:rPr>
                <w:sz w:val="2"/>
                <w:szCs w:val="2"/>
                <w:color w:val="auto"/>
              </w:rPr>
            </w:pPr>
          </w:p>
        </w:tc>
        <w:tc>
          <w:tcPr>
            <w:tcW w:w="146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0" w:type="dxa"/>
            <w:vAlign w:val="bottom"/>
            <w:tcBorders>
              <w:right w:val="single" w:sz="8" w:color="0000FF"/>
            </w:tcBorders>
            <w:shd w:val="clear" w:color="auto" w:fill="0000FF"/>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83"/>
        </w:trPr>
        <w:tc>
          <w:tcPr>
            <w:tcW w:w="4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32**</w:t>
            </w:r>
          </w:p>
        </w:tc>
        <w:tc>
          <w:tcPr>
            <w:tcW w:w="7840" w:type="dxa"/>
            <w:vAlign w:val="bottom"/>
            <w:gridSpan w:val="17"/>
            <w:shd w:val="clear" w:color="auto" w:fill="CCEEFF"/>
          </w:tcPr>
          <w:p>
            <w:pPr>
              <w:spacing w:after="0" w:line="176" w:lineRule="exact"/>
              <w:rPr>
                <w:sz w:val="20"/>
                <w:szCs w:val="20"/>
                <w:color w:val="auto"/>
              </w:rPr>
            </w:pPr>
            <w:r>
              <w:rPr>
                <w:rFonts w:ascii="Arial" w:cs="Arial" w:eastAsia="Arial" w:hAnsi="Arial"/>
                <w:sz w:val="18"/>
                <w:szCs w:val="18"/>
                <w:color w:val="0000FF"/>
              </w:rPr>
              <w:t>Section 1350 Certification of the Chief Executive Officer and the Chief Financial Officer</w:t>
            </w:r>
          </w:p>
        </w:tc>
      </w:tr>
      <w:tr>
        <w:trPr>
          <w:trHeight w:val="216"/>
        </w:trPr>
        <w:tc>
          <w:tcPr>
            <w:tcW w:w="4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101.SCH*+</w:t>
            </w:r>
          </w:p>
        </w:tc>
        <w:tc>
          <w:tcPr>
            <w:tcW w:w="416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auto"/>
                <w:w w:val="97"/>
              </w:rPr>
              <w:t>Inline XBRL Taxonomy Extension Schema Document</w:t>
            </w:r>
          </w:p>
        </w:tc>
        <w:tc>
          <w:tcPr>
            <w:tcW w:w="40" w:type="dxa"/>
            <w:vAlign w:val="bottom"/>
            <w:tcBorders>
              <w:top w:val="single" w:sz="8" w:color="CCEEFF"/>
            </w:tcBorders>
          </w:tcPr>
          <w:p>
            <w:pPr>
              <w:spacing w:after="0"/>
              <w:rPr>
                <w:sz w:val="18"/>
                <w:szCs w:val="18"/>
                <w:color w:val="auto"/>
              </w:rPr>
            </w:pPr>
          </w:p>
        </w:tc>
        <w:tc>
          <w:tcPr>
            <w:tcW w:w="2220" w:type="dxa"/>
            <w:vAlign w:val="bottom"/>
            <w:tcBorders>
              <w:top w:val="single" w:sz="8" w:color="0000FF"/>
            </w:tcBorders>
            <w:gridSpan w:val="7"/>
          </w:tcPr>
          <w:p>
            <w:pPr>
              <w:spacing w:after="0"/>
              <w:rPr>
                <w:sz w:val="18"/>
                <w:szCs w:val="18"/>
                <w:color w:val="auto"/>
              </w:rPr>
            </w:pPr>
          </w:p>
        </w:tc>
        <w:tc>
          <w:tcPr>
            <w:tcW w:w="1420" w:type="dxa"/>
            <w:vAlign w:val="bottom"/>
            <w:tcBorders>
              <w:top w:val="single" w:sz="8" w:color="CCEEFF"/>
            </w:tcBorders>
            <w:gridSpan w:val="5"/>
          </w:tcPr>
          <w:p>
            <w:pPr>
              <w:spacing w:after="0"/>
              <w:rPr>
                <w:sz w:val="18"/>
                <w:szCs w:val="18"/>
                <w:color w:val="auto"/>
              </w:rPr>
            </w:pPr>
          </w:p>
        </w:tc>
      </w:tr>
      <w:tr>
        <w:trPr>
          <w:trHeight w:val="203"/>
        </w:trPr>
        <w:tc>
          <w:tcPr>
            <w:tcW w:w="4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101.CAL*+</w:t>
            </w:r>
          </w:p>
        </w:tc>
        <w:tc>
          <w:tcPr>
            <w:tcW w:w="7840" w:type="dxa"/>
            <w:vAlign w:val="bottom"/>
            <w:gridSpan w:val="17"/>
            <w:shd w:val="clear" w:color="auto" w:fill="CCEEFF"/>
          </w:tcPr>
          <w:p>
            <w:pPr>
              <w:spacing w:after="0" w:line="202" w:lineRule="exact"/>
              <w:rPr>
                <w:sz w:val="20"/>
                <w:szCs w:val="20"/>
                <w:color w:val="auto"/>
              </w:rPr>
            </w:pPr>
            <w:r>
              <w:rPr>
                <w:rFonts w:ascii="Arial" w:cs="Arial" w:eastAsia="Arial" w:hAnsi="Arial"/>
                <w:sz w:val="18"/>
                <w:szCs w:val="18"/>
                <w:color w:val="auto"/>
              </w:rPr>
              <w:t>Inline XBRL Taxonomy Extension Calculation Linkbase Document</w:t>
            </w:r>
          </w:p>
        </w:tc>
      </w:tr>
      <w:tr>
        <w:trPr>
          <w:trHeight w:val="203"/>
        </w:trPr>
        <w:tc>
          <w:tcPr>
            <w:tcW w:w="40" w:type="dxa"/>
            <w:vAlign w:val="bottom"/>
          </w:tcPr>
          <w:p>
            <w:pPr>
              <w:spacing w:after="0"/>
              <w:rPr>
                <w:sz w:val="17"/>
                <w:szCs w:val="17"/>
                <w:color w:val="auto"/>
              </w:rPr>
            </w:pPr>
          </w:p>
        </w:tc>
        <w:tc>
          <w:tcPr>
            <w:tcW w:w="1460" w:type="dxa"/>
            <w:vAlign w:val="bottom"/>
            <w:gridSpan w:val="2"/>
          </w:tcPr>
          <w:p>
            <w:pPr>
              <w:spacing w:after="0" w:line="202" w:lineRule="exact"/>
              <w:rPr>
                <w:sz w:val="20"/>
                <w:szCs w:val="20"/>
                <w:color w:val="auto"/>
              </w:rPr>
            </w:pPr>
            <w:r>
              <w:rPr>
                <w:rFonts w:ascii="Arial" w:cs="Arial" w:eastAsia="Arial" w:hAnsi="Arial"/>
                <w:sz w:val="18"/>
                <w:szCs w:val="18"/>
                <w:color w:val="auto"/>
              </w:rPr>
              <w:t>101.DEF*+</w:t>
            </w:r>
          </w:p>
        </w:tc>
        <w:tc>
          <w:tcPr>
            <w:tcW w:w="7840" w:type="dxa"/>
            <w:vAlign w:val="bottom"/>
            <w:gridSpan w:val="17"/>
          </w:tcPr>
          <w:p>
            <w:pPr>
              <w:spacing w:after="0" w:line="202" w:lineRule="exact"/>
              <w:rPr>
                <w:sz w:val="20"/>
                <w:szCs w:val="20"/>
                <w:color w:val="auto"/>
              </w:rPr>
            </w:pPr>
            <w:r>
              <w:rPr>
                <w:rFonts w:ascii="Arial" w:cs="Arial" w:eastAsia="Arial" w:hAnsi="Arial"/>
                <w:sz w:val="18"/>
                <w:szCs w:val="18"/>
                <w:color w:val="auto"/>
              </w:rPr>
              <w:t>Inline XBRL Taxonomy Extension Definition Linkbase Document</w:t>
            </w:r>
          </w:p>
        </w:tc>
      </w:tr>
      <w:tr>
        <w:trPr>
          <w:trHeight w:val="216"/>
        </w:trPr>
        <w:tc>
          <w:tcPr>
            <w:tcW w:w="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101.LAB*+</w:t>
            </w:r>
          </w:p>
        </w:tc>
        <w:tc>
          <w:tcPr>
            <w:tcW w:w="784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02"/>
        </w:trPr>
        <w:tc>
          <w:tcPr>
            <w:tcW w:w="40" w:type="dxa"/>
            <w:vAlign w:val="bottom"/>
          </w:tcPr>
          <w:p>
            <w:pPr>
              <w:spacing w:after="0"/>
              <w:rPr>
                <w:sz w:val="17"/>
                <w:szCs w:val="17"/>
                <w:color w:val="auto"/>
              </w:rPr>
            </w:pPr>
          </w:p>
        </w:tc>
        <w:tc>
          <w:tcPr>
            <w:tcW w:w="1460" w:type="dxa"/>
            <w:vAlign w:val="bottom"/>
            <w:gridSpan w:val="2"/>
          </w:tcPr>
          <w:p>
            <w:pPr>
              <w:spacing w:after="0" w:line="202" w:lineRule="exact"/>
              <w:rPr>
                <w:sz w:val="20"/>
                <w:szCs w:val="20"/>
                <w:color w:val="auto"/>
              </w:rPr>
            </w:pPr>
            <w:r>
              <w:rPr>
                <w:rFonts w:ascii="Arial" w:cs="Arial" w:eastAsia="Arial" w:hAnsi="Arial"/>
                <w:sz w:val="18"/>
                <w:szCs w:val="18"/>
                <w:color w:val="auto"/>
              </w:rPr>
              <w:t>101.PRE*+</w:t>
            </w:r>
          </w:p>
        </w:tc>
        <w:tc>
          <w:tcPr>
            <w:tcW w:w="7840" w:type="dxa"/>
            <w:vAlign w:val="bottom"/>
            <w:gridSpan w:val="17"/>
          </w:tcPr>
          <w:p>
            <w:pPr>
              <w:spacing w:after="0" w:line="202" w:lineRule="exact"/>
              <w:rPr>
                <w:sz w:val="20"/>
                <w:szCs w:val="20"/>
                <w:color w:val="auto"/>
              </w:rPr>
            </w:pPr>
            <w:r>
              <w:rPr>
                <w:rFonts w:ascii="Arial" w:cs="Arial" w:eastAsia="Arial" w:hAnsi="Arial"/>
                <w:sz w:val="18"/>
                <w:szCs w:val="18"/>
                <w:color w:val="auto"/>
              </w:rPr>
              <w:t>Inline XBRL Taxonomy Extension Presentation Linkbase Document</w:t>
            </w:r>
          </w:p>
        </w:tc>
      </w:tr>
      <w:tr>
        <w:trPr>
          <w:trHeight w:val="203"/>
        </w:trPr>
        <w:tc>
          <w:tcPr>
            <w:tcW w:w="4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104</w:t>
            </w:r>
          </w:p>
        </w:tc>
        <w:tc>
          <w:tcPr>
            <w:tcW w:w="7840" w:type="dxa"/>
            <w:vAlign w:val="bottom"/>
            <w:gridSpan w:val="17"/>
            <w:shd w:val="clear" w:color="auto" w:fill="CCEEFF"/>
          </w:tcPr>
          <w:p>
            <w:pPr>
              <w:spacing w:after="0" w:line="202" w:lineRule="exact"/>
              <w:rPr>
                <w:sz w:val="20"/>
                <w:szCs w:val="20"/>
                <w:color w:val="auto"/>
              </w:rPr>
            </w:pPr>
            <w:r>
              <w:rPr>
                <w:rFonts w:ascii="Arial" w:cs="Arial" w:eastAsia="Arial" w:hAnsi="Arial"/>
                <w:sz w:val="18"/>
                <w:szCs w:val="18"/>
                <w:color w:val="auto"/>
              </w:rPr>
              <w:t>Cover Page Interactive Data File (formatted as Inline XBRL and contained in Exhibit 101)</w:t>
            </w:r>
          </w:p>
        </w:tc>
      </w:tr>
      <w:tr>
        <w:trPr>
          <w:trHeight w:val="216"/>
        </w:trPr>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20" w:type="dxa"/>
            <w:vAlign w:val="bottom"/>
            <w:gridSpan w:val="2"/>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3"/>
        </w:trPr>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spacing w:after="0"/>
              <w:rPr>
                <w:sz w:val="17"/>
                <w:szCs w:val="17"/>
                <w:color w:val="auto"/>
              </w:rPr>
            </w:pPr>
          </w:p>
        </w:tc>
        <w:tc>
          <w:tcPr>
            <w:tcW w:w="7840" w:type="dxa"/>
            <w:vAlign w:val="bottom"/>
            <w:gridSpan w:val="17"/>
            <w:shd w:val="clear" w:color="auto" w:fill="CCEEFF"/>
          </w:tcPr>
          <w:p>
            <w:pPr>
              <w:spacing w:after="0" w:line="202" w:lineRule="exact"/>
              <w:rPr>
                <w:sz w:val="20"/>
                <w:szCs w:val="20"/>
                <w:color w:val="auto"/>
              </w:rPr>
            </w:pPr>
            <w:r>
              <w:rPr>
                <w:rFonts w:ascii="Arial" w:cs="Arial" w:eastAsia="Arial" w:hAnsi="Arial"/>
                <w:sz w:val="18"/>
                <w:szCs w:val="18"/>
                <w:color w:val="auto"/>
              </w:rPr>
              <w:t>Filed herewith as an Exhibit.</w:t>
            </w:r>
          </w:p>
        </w:tc>
      </w:tr>
      <w:tr>
        <w:trPr>
          <w:trHeight w:val="203"/>
        </w:trPr>
        <w:tc>
          <w:tcPr>
            <w:tcW w:w="40" w:type="dxa"/>
            <w:vAlign w:val="bottom"/>
          </w:tcPr>
          <w:p>
            <w:pPr>
              <w:spacing w:after="0"/>
              <w:rPr>
                <w:sz w:val="17"/>
                <w:szCs w:val="17"/>
                <w:color w:val="auto"/>
              </w:rPr>
            </w:pPr>
          </w:p>
        </w:tc>
        <w:tc>
          <w:tcPr>
            <w:tcW w:w="2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spacing w:after="0"/>
              <w:rPr>
                <w:sz w:val="17"/>
                <w:szCs w:val="17"/>
                <w:color w:val="auto"/>
              </w:rPr>
            </w:pPr>
          </w:p>
        </w:tc>
        <w:tc>
          <w:tcPr>
            <w:tcW w:w="7840" w:type="dxa"/>
            <w:vAlign w:val="bottom"/>
            <w:gridSpan w:val="17"/>
          </w:tcPr>
          <w:p>
            <w:pPr>
              <w:spacing w:after="0" w:line="202" w:lineRule="exact"/>
              <w:rPr>
                <w:sz w:val="20"/>
                <w:szCs w:val="20"/>
                <w:color w:val="auto"/>
              </w:rPr>
            </w:pPr>
            <w:r>
              <w:rPr>
                <w:rFonts w:ascii="Arial" w:cs="Arial" w:eastAsia="Arial" w:hAnsi="Arial"/>
                <w:sz w:val="18"/>
                <w:szCs w:val="18"/>
                <w:color w:val="auto"/>
              </w:rPr>
              <w:t>Furnished herewith as an Exhibit.</w:t>
            </w:r>
          </w:p>
        </w:tc>
      </w:tr>
      <w:tr>
        <w:trPr>
          <w:trHeight w:val="216"/>
        </w:trPr>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spacing w:after="0"/>
              <w:rPr>
                <w:sz w:val="18"/>
                <w:szCs w:val="18"/>
                <w:color w:val="auto"/>
              </w:rPr>
            </w:pPr>
          </w:p>
        </w:tc>
        <w:tc>
          <w:tcPr>
            <w:tcW w:w="784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Submitted electronically with this Quarterly Report.</w:t>
            </w:r>
          </w:p>
        </w:tc>
      </w:tr>
    </w:tbl>
    <w:p>
      <w:pPr>
        <w:spacing w:after="0" w:line="200" w:lineRule="exact"/>
        <w:rPr>
          <w:sz w:val="20"/>
          <w:szCs w:val="20"/>
          <w:color w:val="auto"/>
        </w:rPr>
      </w:pPr>
    </w:p>
    <w:p>
      <w:pPr>
        <w:sectPr>
          <w:pgSz w:w="11900" w:h="16838" w:orient="portrait"/>
          <w:cols w:equalWidth="0" w:num="1">
            <w:col w:w="9340"/>
          </w:cols>
          <w:pgMar w:left="1280" w:top="315"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9340"/>
          </w:cols>
          <w:pgMar w:left="1280" w:top="315" w:right="1279" w:bottom="1440" w:gutter="0" w:footer="0" w:header="0"/>
          <w:type w:val="continuous"/>
        </w:sectPr>
      </w:pPr>
    </w:p>
    <w:bookmarkStart w:id="29" w:name="page30"/>
    <w:bookmarkEnd w:id="29"/>
    <w:p>
      <w:pPr>
        <w:jc w:val="center"/>
        <w:spacing w:after="0"/>
        <w:rPr>
          <w:sz w:val="20"/>
          <w:szCs w:val="20"/>
          <w:color w:val="auto"/>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1897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7132320" cy="9189720"/>
                    </a:xfrm>
                    <a:prstGeom prst="rect">
                      <a:avLst/>
                    </a:prstGeom>
                    <a:noFill/>
                  </pic:spPr>
                </pic:pic>
              </a:graphicData>
            </a:graphic>
          </wp:anchor>
        </w:drawing>
        <w:t>Index</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CAL-MAINE FOODS, INC.</w:t>
      </w:r>
    </w:p>
    <w:p>
      <w:pPr>
        <w:spacing w:after="0" w:line="12"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(Registrant)</w:t>
      </w:r>
    </w:p>
    <w:p>
      <w:pPr>
        <w:spacing w:after="0" w:line="250" w:lineRule="exact"/>
        <w:rPr>
          <w:sz w:val="20"/>
          <w:szCs w:val="20"/>
          <w:color w:val="auto"/>
        </w:rPr>
      </w:pPr>
    </w:p>
    <w:p>
      <w:pPr>
        <w:spacing w:after="0"/>
        <w:tabs>
          <w:tab w:leader="none" w:pos="540" w:val="left"/>
          <w:tab w:leader="none" w:pos="2980" w:val="left"/>
        </w:tabs>
        <w:rPr>
          <w:sz w:val="20"/>
          <w:szCs w:val="20"/>
          <w:color w:val="auto"/>
        </w:rPr>
      </w:pPr>
      <w:r>
        <w:rPr>
          <w:rFonts w:ascii="Arial" w:cs="Arial" w:eastAsia="Arial" w:hAnsi="Arial"/>
          <w:sz w:val="18"/>
          <w:szCs w:val="18"/>
          <w:color w:val="auto"/>
        </w:rPr>
        <w:t>Date:</w:t>
        <w:tab/>
        <w:t>December 28, 2022</w:t>
      </w:r>
      <w:r>
        <w:rPr>
          <w:sz w:val="20"/>
          <w:szCs w:val="20"/>
          <w:color w:val="auto"/>
        </w:rPr>
        <w:tab/>
      </w:r>
      <w:r>
        <w:rPr>
          <w:rFonts w:ascii="Arial" w:cs="Arial" w:eastAsia="Arial" w:hAnsi="Arial"/>
          <w:sz w:val="16"/>
          <w:szCs w:val="16"/>
          <w:color w:val="auto"/>
        </w:rPr>
        <w:t>/s/ Max P. Bowman</w:t>
      </w:r>
    </w:p>
    <w:p>
      <w:pPr>
        <w:spacing w:after="0" w:line="50"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Max P. Bowman</w:t>
      </w:r>
    </w:p>
    <w:p>
      <w:pPr>
        <w:spacing w:after="0" w:line="48"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Vice President, Chief Financial Officer</w:t>
      </w:r>
    </w:p>
    <w:p>
      <w:pPr>
        <w:ind w:left="3240"/>
        <w:spacing w:after="0"/>
        <w:rPr>
          <w:sz w:val="20"/>
          <w:szCs w:val="20"/>
          <w:color w:val="auto"/>
        </w:rPr>
      </w:pPr>
      <w:r>
        <w:rPr>
          <w:rFonts w:ascii="Arial" w:cs="Arial" w:eastAsia="Arial" w:hAnsi="Arial"/>
          <w:sz w:val="18"/>
          <w:szCs w:val="18"/>
          <w:color w:val="auto"/>
        </w:rPr>
        <w:t>(Principal Financial Officer)</w:t>
      </w:r>
    </w:p>
    <w:p>
      <w:pPr>
        <w:spacing w:after="0" w:line="155" w:lineRule="exact"/>
        <w:rPr>
          <w:sz w:val="20"/>
          <w:szCs w:val="20"/>
          <w:color w:val="auto"/>
        </w:rPr>
      </w:pPr>
    </w:p>
    <w:p>
      <w:pPr>
        <w:spacing w:after="0"/>
        <w:tabs>
          <w:tab w:leader="none" w:pos="540" w:val="left"/>
          <w:tab w:leader="none" w:pos="2980" w:val="left"/>
        </w:tabs>
        <w:rPr>
          <w:sz w:val="20"/>
          <w:szCs w:val="20"/>
          <w:color w:val="auto"/>
        </w:rPr>
      </w:pPr>
      <w:r>
        <w:rPr>
          <w:rFonts w:ascii="Arial" w:cs="Arial" w:eastAsia="Arial" w:hAnsi="Arial"/>
          <w:sz w:val="18"/>
          <w:szCs w:val="18"/>
          <w:color w:val="auto"/>
        </w:rPr>
        <w:t>Date:</w:t>
        <w:tab/>
        <w:t>December 28, 2022</w:t>
      </w:r>
      <w:r>
        <w:rPr>
          <w:sz w:val="20"/>
          <w:szCs w:val="20"/>
          <w:color w:val="auto"/>
        </w:rPr>
        <w:tab/>
      </w:r>
      <w:r>
        <w:rPr>
          <w:rFonts w:ascii="Arial" w:cs="Arial" w:eastAsia="Arial" w:hAnsi="Arial"/>
          <w:sz w:val="16"/>
          <w:szCs w:val="16"/>
          <w:color w:val="auto"/>
        </w:rPr>
        <w:t>/s/ Matthew S. Glover</w:t>
      </w:r>
    </w:p>
    <w:p>
      <w:pPr>
        <w:spacing w:after="0" w:line="50"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Matthew S. Glover</w:t>
      </w:r>
    </w:p>
    <w:p>
      <w:pPr>
        <w:spacing w:after="0" w:line="48"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Vice President – Accounting</w:t>
      </w:r>
    </w:p>
    <w:p>
      <w:pPr>
        <w:ind w:left="3240"/>
        <w:spacing w:after="0"/>
        <w:rPr>
          <w:sz w:val="20"/>
          <w:szCs w:val="20"/>
          <w:color w:val="auto"/>
        </w:rPr>
      </w:pPr>
      <w:r>
        <w:rPr>
          <w:rFonts w:ascii="Arial" w:cs="Arial" w:eastAsia="Arial" w:hAnsi="Arial"/>
          <w:sz w:val="18"/>
          <w:szCs w:val="18"/>
          <w:color w:val="auto"/>
        </w:rPr>
        <w:t>(Principal Accounting Officer)</w:t>
      </w:r>
    </w:p>
    <w:p>
      <w:pPr>
        <w:sectPr>
          <w:pgSz w:w="11900" w:h="16838" w:orient="portrait"/>
          <w:cols w:equalWidth="0" w:num="1">
            <w:col w:w="9240"/>
          </w:cols>
          <w:pgMar w:left="1320" w:top="315"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9240"/>
          </w:cols>
          <w:pgMar w:left="1320" w:top="315" w:right="1339" w:bottom="1440" w:gutter="0" w:footer="0" w:header="0"/>
          <w:type w:val="continuous"/>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1897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7132320" cy="9189720"/>
                    </a:xfrm>
                    <a:prstGeom prst="rect">
                      <a:avLst/>
                    </a:prstGeom>
                    <a:noFill/>
                  </pic:spPr>
                </pic:pic>
              </a:graphicData>
            </a:graphic>
          </wp:anchor>
        </w:drawing>
        <w:t>Exhibit 31.1</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Pursuant to Rule 13a-14(a) or Rule 15d-14(a) 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Sherman L. Miller, certify that:</w:t>
      </w:r>
    </w:p>
    <w:p>
      <w:pPr>
        <w:spacing w:after="0" w:line="225"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Cal-Maine Foods, Inc.;</w:t>
      </w:r>
    </w:p>
    <w:p>
      <w:pPr>
        <w:spacing w:after="0" w:line="225" w:lineRule="exact"/>
        <w:rPr>
          <w:rFonts w:ascii="Arial" w:cs="Arial" w:eastAsia="Arial" w:hAnsi="Arial"/>
          <w:sz w:val="18"/>
          <w:szCs w:val="18"/>
          <w:color w:val="auto"/>
        </w:rPr>
      </w:pPr>
    </w:p>
    <w:p>
      <w:pPr>
        <w:ind w:left="340" w:right="120" w:hanging="332"/>
        <w:spacing w:after="0" w:line="263"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120" w:hanging="332"/>
        <w:spacing w:after="0" w:line="263"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jc w:val="both"/>
        <w:ind w:left="340" w:right="300" w:hanging="332"/>
        <w:spacing w:after="0" w:line="286" w:lineRule="auto"/>
        <w:tabs>
          <w:tab w:leader="none" w:pos="3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5" w:lineRule="exact"/>
        <w:rPr>
          <w:rFonts w:ascii="Arial" w:cs="Arial" w:eastAsia="Arial" w:hAnsi="Arial"/>
          <w:sz w:val="17"/>
          <w:szCs w:val="17"/>
          <w:color w:val="auto"/>
        </w:rPr>
      </w:pPr>
    </w:p>
    <w:p>
      <w:pPr>
        <w:ind w:left="580" w:right="260" w:hanging="248"/>
        <w:spacing w:after="0" w:line="259" w:lineRule="auto"/>
        <w:tabs>
          <w:tab w:leader="none" w:pos="569"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left="580" w:right="180" w:hanging="248"/>
        <w:spacing w:after="0" w:line="311" w:lineRule="auto"/>
        <w:tabs>
          <w:tab w:leader="none" w:pos="569" w:val="left"/>
        </w:tabs>
        <w:numPr>
          <w:ilvl w:val="1"/>
          <w:numId w:val="2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6"/>
          <w:szCs w:val="16"/>
          <w:color w:val="auto"/>
        </w:rPr>
      </w:pPr>
    </w:p>
    <w:p>
      <w:pPr>
        <w:ind w:left="580" w:right="60" w:hanging="248"/>
        <w:spacing w:after="0" w:line="263" w:lineRule="auto"/>
        <w:tabs>
          <w:tab w:leader="none" w:pos="569" w:val="left"/>
        </w:tabs>
        <w:numPr>
          <w:ilvl w:val="1"/>
          <w:numId w:val="2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580" w:right="160" w:hanging="248"/>
        <w:spacing w:after="0" w:line="259" w:lineRule="auto"/>
        <w:tabs>
          <w:tab w:leader="none" w:pos="615"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ind w:left="340" w:right="60" w:hanging="332"/>
        <w:spacing w:after="0" w:line="263"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580" w:right="60" w:hanging="248"/>
        <w:spacing w:after="0" w:line="263" w:lineRule="auto"/>
        <w:tabs>
          <w:tab w:leader="none" w:pos="5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580" w:right="340" w:hanging="248"/>
        <w:spacing w:after="0" w:line="276" w:lineRule="auto"/>
        <w:tabs>
          <w:tab w:leader="none" w:pos="5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 Sherman L. Miller</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Sherman L. Miller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December 28, 2022</w:t>
      </w:r>
    </w:p>
    <w:p>
      <w:pPr>
        <w:sectPr>
          <w:pgSz w:w="11900" w:h="16838" w:orient="portrait"/>
          <w:cols w:equalWidth="0" w:num="1">
            <w:col w:w="9240"/>
          </w:cols>
          <w:pgMar w:left="1320" w:top="284"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9240"/>
          </w:cols>
          <w:pgMar w:left="1320" w:top="284" w:right="1339" w:bottom="1440" w:gutter="0" w:footer="0" w:header="0"/>
          <w:type w:val="continuous"/>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1897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132320" cy="9189720"/>
                    </a:xfrm>
                    <a:prstGeom prst="rect">
                      <a:avLst/>
                    </a:prstGeom>
                    <a:noFill/>
                  </pic:spPr>
                </pic:pic>
              </a:graphicData>
            </a:graphic>
          </wp:anchor>
        </w:drawing>
        <w:t>Exhibit 31.2</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Pursuant to Rule 13a-14(a) or Rule 15d-14(a) 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Max P. Bowman, certify that</w:t>
      </w:r>
    </w:p>
    <w:p>
      <w:pPr>
        <w:spacing w:after="0" w:line="225"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Cal-Maine Foods, Inc.;</w:t>
      </w:r>
    </w:p>
    <w:p>
      <w:pPr>
        <w:spacing w:after="0" w:line="225" w:lineRule="exact"/>
        <w:rPr>
          <w:rFonts w:ascii="Arial" w:cs="Arial" w:eastAsia="Arial" w:hAnsi="Arial"/>
          <w:sz w:val="18"/>
          <w:szCs w:val="18"/>
          <w:color w:val="auto"/>
        </w:rPr>
      </w:pPr>
    </w:p>
    <w:p>
      <w:pPr>
        <w:ind w:left="340" w:right="120" w:hanging="332"/>
        <w:spacing w:after="0" w:line="263"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120" w:hanging="332"/>
        <w:spacing w:after="0" w:line="263"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jc w:val="both"/>
        <w:ind w:left="340" w:right="300" w:hanging="332"/>
        <w:spacing w:after="0" w:line="286" w:lineRule="auto"/>
        <w:tabs>
          <w:tab w:leader="none" w:pos="3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5" w:lineRule="exact"/>
        <w:rPr>
          <w:rFonts w:ascii="Arial" w:cs="Arial" w:eastAsia="Arial" w:hAnsi="Arial"/>
          <w:sz w:val="17"/>
          <w:szCs w:val="17"/>
          <w:color w:val="auto"/>
        </w:rPr>
      </w:pPr>
    </w:p>
    <w:p>
      <w:pPr>
        <w:ind w:left="660" w:right="180" w:hanging="328"/>
        <w:spacing w:after="0" w:line="259" w:lineRule="auto"/>
        <w:tabs>
          <w:tab w:leader="none" w:pos="6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left="660" w:right="100" w:hanging="328"/>
        <w:spacing w:after="0" w:line="311" w:lineRule="auto"/>
        <w:tabs>
          <w:tab w:leader="none" w:pos="660" w:val="left"/>
        </w:tabs>
        <w:numPr>
          <w:ilvl w:val="1"/>
          <w:numId w:val="2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6"/>
          <w:szCs w:val="16"/>
          <w:color w:val="auto"/>
        </w:rPr>
      </w:pPr>
    </w:p>
    <w:p>
      <w:pPr>
        <w:ind w:left="660" w:right="280" w:hanging="328"/>
        <w:spacing w:after="0" w:line="263" w:lineRule="auto"/>
        <w:tabs>
          <w:tab w:leader="none" w:pos="6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660" w:right="80" w:hanging="328"/>
        <w:spacing w:after="0" w:line="259" w:lineRule="auto"/>
        <w:tabs>
          <w:tab w:leader="none" w:pos="6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ind w:left="340" w:right="60" w:hanging="332"/>
        <w:spacing w:after="0" w:line="263"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660" w:right="440" w:hanging="328"/>
        <w:spacing w:after="0" w:line="263" w:lineRule="auto"/>
        <w:tabs>
          <w:tab w:leader="none" w:pos="6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660" w:right="260" w:hanging="328"/>
        <w:spacing w:after="0" w:line="276" w:lineRule="auto"/>
        <w:tabs>
          <w:tab w:leader="none" w:pos="6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 Max P. Bowman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Max P. Bowman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and Chief Financial Officer</w:t>
      </w:r>
    </w:p>
    <w:p>
      <w:pPr>
        <w:spacing w:after="0" w:line="6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Date:</w:t>
        <w:tab/>
        <w:t>December 28, 2022</w:t>
      </w:r>
    </w:p>
    <w:p>
      <w:pPr>
        <w:sectPr>
          <w:pgSz w:w="11900" w:h="16838" w:orient="portrait"/>
          <w:cols w:equalWidth="0" w:num="1">
            <w:col w:w="9240"/>
          </w:cols>
          <w:pgMar w:left="1320" w:top="284"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9240"/>
          </w:cols>
          <w:pgMar w:left="1320" w:top="284" w:right="1339" w:bottom="1440" w:gutter="0" w:footer="0" w:header="0"/>
          <w:type w:val="continuous"/>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1897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132320" cy="9189720"/>
                    </a:xfrm>
                    <a:prstGeom prst="rect">
                      <a:avLst/>
                    </a:prstGeom>
                    <a:noFill/>
                  </pic:spPr>
                </pic:pic>
              </a:graphicData>
            </a:graphic>
          </wp:anchor>
        </w:drawing>
        <w:t>Exhibit 32</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Certifications Pursuant to 18 U.S.C.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Solely for the purposes of complying with 18 U.S.C. §1350, as adopted pursuant to Section 906 of the Sarbanes-Oxley Act of 2002, we, the undersigned Chief Executive Officer and Chief Financial Officer of Cal-Maine Foods, Inc. (the “Company”), hereby certify, based on our knowledge, that the Quarterly Report on Form 10-Q of the Company for the quarter ended November 26, 2022 (the “Report”) fully complies with the requirements of Section 13(a) or 15(d) of the Securities Exchange Act of 1934 and that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/s/ Sherman L. Miller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Sherman L. Miller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 Max P. Bowman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Max P. Bowman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and Chief Financial Officer</w:t>
      </w:r>
    </w:p>
    <w:p>
      <w:pPr>
        <w:spacing w:after="0" w:line="333"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December 28, 2022</w:t>
      </w:r>
    </w:p>
    <w:p>
      <w:pPr>
        <w:sectPr>
          <w:pgSz w:w="11900" w:h="16838" w:orient="portrait"/>
          <w:cols w:equalWidth="0" w:num="1">
            <w:col w:w="9240"/>
          </w:cols>
          <w:pgMar w:left="1320" w:top="284"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9240"/>
          </w:cols>
          <w:pgMar w:left="1320" w:top="284" w:right="1339" w:bottom="1440" w:gutter="0" w:footer="0" w:header="0"/>
          <w:type w:val="continuous"/>
        </w:sectPr>
      </w:pPr>
    </w:p>
    <w:bookmarkStart w:id="33" w:name="page34"/>
    <w:bookmarkEnd w:id="3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lvl w:ilvl="1">
      <w:lvlJc w:val="left"/>
      <w:lvlText w:val="◦"/>
      <w:numFmt w:val="bullet"/>
      <w:start w:val="1"/>
    </w:lvl>
  </w:abstractNum>
  <w:abstractNum w:abstractNumId="3">
    <w:nsid w:val="DED7263"/>
    <w:multiLevelType w:val="hybridMultilevel"/>
    <w:lvl w:ilvl="0">
      <w:lvlJc w:val="left"/>
      <w:lvlText w:val="%1:"/>
      <w:numFmt w:val="decimal"/>
      <w:start w:val="16"/>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
      <w:numFmt w:val="bullet"/>
      <w:start w:val="1"/>
    </w:lvl>
  </w:abstractNum>
  <w:abstractNum w:abstractNumId="21">
    <w:nsid w:val="2D1D5AE9"/>
    <w:multiLevelType w:val="hybridMultilevel"/>
    <w:lvl w:ilvl="0">
      <w:lvlJc w:val="left"/>
      <w:lvlText w:val="-"/>
      <w:numFmt w:val="bullet"/>
      <w:start w:val="1"/>
    </w:lvl>
  </w:abstractNum>
  <w:abstractNum w:abstractNumId="22">
    <w:nsid w:val="6763845E"/>
    <w:multiLevelType w:val="hybridMultilevel"/>
    <w:lvl w:ilvl="0">
      <w:lvlJc w:val="left"/>
      <w:lvlText w:val="%1."/>
      <w:numFmt w:val="decimal"/>
      <w:start w:val="1"/>
    </w:lvl>
    <w:lvl w:ilvl="1">
      <w:lvlJc w:val="left"/>
      <w:lvlText w:val="(%2)"/>
      <w:numFmt w:val="lowerLetter"/>
      <w:start w:val="1"/>
    </w:lvl>
  </w:abstractNum>
  <w:abstractNum w:abstractNumId="23">
    <w:nsid w:val="75A2A8D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37" Type="http://schemas.openxmlformats.org/officeDocument/2006/relationships/hyperlink" Target="http://www.sec.gov/Archives/edgar/data/16160/000001616018000066/exhibit31secondamendedandr.htm" TargetMode="External"/><Relationship Id="rId38" Type="http://schemas.openxmlformats.org/officeDocument/2006/relationships/hyperlink" Target="http://www.sec.gov/Archives/edgar/data/16160/000114420413020363/v340637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2022-12-28T15:31:39Z</dcterms:created>
  <dcterms:modified xsi:type="dcterms:W3CDTF">2022-12-28T15:31:39Z</dcterms:modified>
</cp:coreProperties>
</file>