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Index</w:t>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56" w:lineRule="exact"/>
        <w:rPr>
          <w:sz w:val="24"/>
          <w:szCs w:val="24"/>
          <w:color w:val="auto"/>
        </w:rPr>
      </w:pPr>
    </w:p>
    <w:p>
      <w:pPr>
        <w:ind w:right="2260" w:firstLine="7"/>
        <w:spacing w:after="0" w:line="191" w:lineRule="auto"/>
        <w:tabs>
          <w:tab w:leader="none" w:pos="661"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November 29, 2025</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6" w:lineRule="exact"/>
        <w:rPr>
          <w:sz w:val="24"/>
          <w:szCs w:val="24"/>
          <w:color w:val="auto"/>
        </w:rPr>
      </w:pPr>
    </w:p>
    <w:p>
      <w:pPr>
        <w:ind w:right="2200" w:firstLine="7"/>
        <w:spacing w:after="0" w:line="283" w:lineRule="auto"/>
        <w:tabs>
          <w:tab w:leader="none" w:pos="66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001-38695</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CAL-MAINE FOODS,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376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20" w:type="dxa"/>
            <w:vAlign w:val="bottom"/>
            <w:gridSpan w:val="2"/>
          </w:tcPr>
          <w:p>
            <w:pPr>
              <w:jc w:val="right"/>
              <w:ind w:right="1729"/>
              <w:spacing w:after="0"/>
              <w:rPr>
                <w:sz w:val="20"/>
                <w:szCs w:val="20"/>
                <w:color w:val="auto"/>
              </w:rPr>
            </w:pPr>
            <w:r>
              <w:rPr>
                <w:rFonts w:ascii="Times New Roman" w:cs="Times New Roman" w:eastAsia="Times New Roman" w:hAnsi="Times New Roman"/>
                <w:sz w:val="18"/>
                <w:szCs w:val="18"/>
                <w:b w:val="1"/>
                <w:bCs w:val="1"/>
                <w:color w:val="auto"/>
              </w:rPr>
              <w:t>64-0500378</w:t>
            </w:r>
          </w:p>
        </w:tc>
      </w:tr>
      <w:tr>
        <w:trPr>
          <w:trHeight w:val="257"/>
        </w:trPr>
        <w:tc>
          <w:tcPr>
            <w:tcW w:w="5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60" w:type="dxa"/>
            <w:vAlign w:val="bottom"/>
          </w:tcPr>
          <w:p>
            <w:pPr>
              <w:spacing w:after="0"/>
              <w:rPr>
                <w:sz w:val="22"/>
                <w:szCs w:val="22"/>
                <w:color w:val="auto"/>
              </w:rPr>
            </w:pPr>
          </w:p>
        </w:tc>
        <w:tc>
          <w:tcPr>
            <w:tcW w:w="3760" w:type="dxa"/>
            <w:vAlign w:val="bottom"/>
          </w:tcPr>
          <w:p>
            <w:pPr>
              <w:jc w:val="center"/>
              <w:ind w:right="649"/>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20"/>
        </w:trPr>
        <w:tc>
          <w:tcPr>
            <w:tcW w:w="20" w:type="dxa"/>
            <w:vAlign w:val="bottom"/>
          </w:tcPr>
          <w:p>
            <w:pPr>
              <w:spacing w:after="0"/>
              <w:rPr>
                <w:sz w:val="24"/>
                <w:szCs w:val="24"/>
                <w:color w:val="auto"/>
              </w:rPr>
            </w:pPr>
          </w:p>
        </w:tc>
        <w:tc>
          <w:tcPr>
            <w:tcW w:w="9220" w:type="dxa"/>
            <w:vAlign w:val="bottom"/>
            <w:gridSpan w:val="5"/>
          </w:tcPr>
          <w:p>
            <w:pPr>
              <w:ind w:left="2260"/>
              <w:spacing w:after="0"/>
              <w:rPr>
                <w:sz w:val="20"/>
                <w:szCs w:val="20"/>
                <w:color w:val="auto"/>
              </w:rPr>
            </w:pPr>
            <w:r>
              <w:rPr>
                <w:rFonts w:ascii="Times New Roman" w:cs="Times New Roman" w:eastAsia="Times New Roman" w:hAnsi="Times New Roman"/>
                <w:sz w:val="18"/>
                <w:szCs w:val="18"/>
                <w:b w:val="1"/>
                <w:bCs w:val="1"/>
                <w:color w:val="auto"/>
              </w:rPr>
              <w:t>1052 Highland Colony Pkwy, Suite 200, Ridgeland, Mississippi 39157</w:t>
            </w:r>
          </w:p>
        </w:tc>
      </w:tr>
      <w:tr>
        <w:trPr>
          <w:trHeight w:val="236"/>
        </w:trPr>
        <w:tc>
          <w:tcPr>
            <w:tcW w:w="20" w:type="dxa"/>
            <w:vAlign w:val="bottom"/>
          </w:tcPr>
          <w:p>
            <w:pPr>
              <w:spacing w:after="0"/>
              <w:rPr>
                <w:sz w:val="20"/>
                <w:szCs w:val="20"/>
                <w:color w:val="auto"/>
              </w:rPr>
            </w:pPr>
          </w:p>
        </w:tc>
        <w:tc>
          <w:tcPr>
            <w:tcW w:w="540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 w:type="dxa"/>
            <w:vAlign w:val="bottom"/>
          </w:tcPr>
          <w:p>
            <w:pPr>
              <w:spacing w:after="0"/>
              <w:rPr>
                <w:sz w:val="20"/>
                <w:szCs w:val="20"/>
                <w:color w:val="auto"/>
              </w:rPr>
            </w:pPr>
          </w:p>
        </w:tc>
        <w:tc>
          <w:tcPr>
            <w:tcW w:w="3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(Zip Code)</w:t>
            </w:r>
          </w:p>
        </w:tc>
      </w:tr>
      <w:tr>
        <w:trPr>
          <w:trHeight w:val="39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(601) 948-6813</w:t>
            </w: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9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r>
      <w:tr>
        <w:trPr>
          <w:trHeight w:val="432"/>
        </w:trPr>
        <w:tc>
          <w:tcPr>
            <w:tcW w:w="5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6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60" w:type="dxa"/>
            <w:vAlign w:val="bottom"/>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57"/>
        </w:trPr>
        <w:tc>
          <w:tcPr>
            <w:tcW w:w="20" w:type="dxa"/>
            <w:vAlign w:val="bottom"/>
          </w:tcPr>
          <w:p>
            <w:pPr>
              <w:spacing w:after="0"/>
              <w:rPr>
                <w:sz w:val="22"/>
                <w:szCs w:val="22"/>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6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CALM</w:t>
            </w:r>
          </w:p>
        </w:tc>
        <w:tc>
          <w:tcPr>
            <w:tcW w:w="60" w:type="dxa"/>
            <w:vAlign w:val="bottom"/>
          </w:tcPr>
          <w:p>
            <w:pPr>
              <w:spacing w:after="0"/>
              <w:rPr>
                <w:sz w:val="22"/>
                <w:szCs w:val="22"/>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304" w:lineRule="exact"/>
        <w:rPr>
          <w:sz w:val="24"/>
          <w:szCs w:val="24"/>
          <w:color w:val="auto"/>
        </w:rPr>
      </w:pPr>
    </w:p>
    <w:p>
      <w:pPr>
        <w:jc w:val="both"/>
        <w:spacing w:after="0" w:line="30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36"/>
          <w:szCs w:val="36"/>
          <w:color w:val="auto"/>
          <w:vertAlign w:val="superscript"/>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36"/>
          <w:szCs w:val="36"/>
          <w:color w:val="auto"/>
          <w:vertAlign w:val="superscript"/>
        </w:rPr>
        <w:t>☐</w:t>
      </w:r>
    </w:p>
    <w:p>
      <w:pPr>
        <w:jc w:val="both"/>
        <w:ind w:right="2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640" w:type="dxa"/>
        <w:tblCellMar>
          <w:top w:w="0" w:type="dxa"/>
          <w:left w:w="0" w:type="dxa"/>
          <w:bottom w:w="0" w:type="dxa"/>
          <w:right w:w="0" w:type="dxa"/>
        </w:tblCellMar>
      </w:tblPr>
      <w:tr>
        <w:trPr>
          <w:trHeight w:val="30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 – Accelerated filer</w:t>
            </w:r>
          </w:p>
        </w:tc>
        <w:tc>
          <w:tcPr>
            <w:tcW w:w="19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0" w:lineRule="exact"/>
        <w:rPr>
          <w:sz w:val="24"/>
          <w:szCs w:val="24"/>
          <w:color w:val="auto"/>
        </w:rPr>
      </w:pPr>
    </w:p>
    <w:p>
      <w:pPr>
        <w:ind w:right="900"/>
        <w:spacing w:after="0" w:line="21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Section 13(a) of the Exchange Act. </w:t>
      </w:r>
      <w:r>
        <w:rPr>
          <w:rFonts w:ascii="MS PGothic" w:cs="MS PGothic" w:eastAsia="MS PGothic" w:hAnsi="MS PGothic"/>
          <w:sz w:val="18"/>
          <w:szCs w:val="18"/>
          <w:color w:val="auto"/>
        </w:rPr>
        <w:t>☐</w:t>
      </w:r>
    </w:p>
    <w:p>
      <w:pPr>
        <w:spacing w:after="0" w:line="252" w:lineRule="exact"/>
        <w:rPr>
          <w:sz w:val="24"/>
          <w:szCs w:val="24"/>
          <w:color w:val="auto"/>
        </w:rPr>
      </w:pPr>
    </w:p>
    <w:p>
      <w:pPr>
        <w:ind w:left="4040" w:right="1060" w:hanging="4022"/>
        <w:spacing w:after="0" w:line="3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36"/>
          <w:szCs w:val="36"/>
          <w:color w:val="auto"/>
          <w:vertAlign w:val="superscript"/>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36"/>
          <w:szCs w:val="36"/>
          <w:color w:val="auto"/>
          <w:vertAlign w:val="superscript"/>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47,654,046 shares of Common Stock, $0.01 par value, outstanding as of January 7, 2026.</w:t>
      </w:r>
    </w:p>
    <w:p>
      <w:pPr>
        <w:sectPr>
          <w:pgSz w:w="11900" w:h="16838" w:orient="portrait"/>
          <w:cols w:equalWidth="0" w:num="1">
            <w:col w:w="9260"/>
          </w:cols>
          <w:pgMar w:left="1320" w:top="417" w:right="1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260"/>
          </w:cols>
          <w:pgMar w:left="1320" w:top="417" w:right="1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0" w:type="dxa"/>
            <w:vAlign w:val="bottom"/>
            <w:gridSpan w:val="15"/>
          </w:tcPr>
          <w:p>
            <w:pPr>
              <w:ind w:left="840"/>
              <w:spacing w:after="0"/>
              <w:rPr>
                <w:sz w:val="20"/>
                <w:szCs w:val="20"/>
                <w:color w:val="auto"/>
              </w:rPr>
            </w:pPr>
            <w:r>
              <w:rPr>
                <w:rFonts w:ascii="Times New Roman" w:cs="Times New Roman" w:eastAsia="Times New Roman" w:hAnsi="Times New Roman"/>
                <w:sz w:val="18"/>
                <w:szCs w:val="18"/>
                <w:color w:val="0000FF"/>
              </w:rPr>
              <w:t>Index</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202"/>
        </w:trPr>
        <w:tc>
          <w:tcPr>
            <w:tcW w:w="7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210" w:type="dxa"/>
            <w:vAlign w:val="bottom"/>
            <w:tcBorders>
              <w:bottom w:val="single" w:sz="8" w:color="CCEEFF"/>
            </w:tcBorders>
          </w:tcPr>
          <w:p>
            <w:pPr>
              <w:spacing w:after="0"/>
              <w:rPr>
                <w:sz w:val="17"/>
                <w:szCs w:val="17"/>
                <w:color w:val="auto"/>
              </w:rPr>
            </w:pPr>
          </w:p>
        </w:tc>
        <w:tc>
          <w:tcPr>
            <w:tcW w:w="7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tcBorders>
              <w:right w:val="single" w:sz="8" w:color="CCEEFF"/>
            </w:tcBorders>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380" w:type="dxa"/>
            <w:vAlign w:val="bottom"/>
            <w:gridSpan w:val="21"/>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0" w:type="dxa"/>
            <w:vAlign w:val="bottom"/>
            <w:tcBorders>
              <w:right w:val="single" w:sz="8" w:color="CCEEFF"/>
            </w:tcBorders>
            <w:gridSpan w:val="3"/>
            <w:vMerge w:val="continue"/>
            <w:shd w:val="clear" w:color="auto" w:fill="CCEEFF"/>
          </w:tcPr>
          <w:p>
            <w:pPr>
              <w:spacing w:after="0"/>
              <w:rPr>
                <w:sz w:val="16"/>
                <w:szCs w:val="16"/>
                <w:color w:val="auto"/>
              </w:rPr>
            </w:pPr>
          </w:p>
        </w:tc>
        <w:tc>
          <w:tcPr>
            <w:tcW w:w="6380" w:type="dxa"/>
            <w:vAlign w:val="bottom"/>
            <w:gridSpan w:val="21"/>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w:t>
            </w: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10" w:type="dxa"/>
            <w:vAlign w:val="bottom"/>
            <w:tcBorders>
              <w:top w:val="single" w:sz="8" w:color="CCEEFF"/>
            </w:tcBorders>
          </w:tcPr>
          <w:p>
            <w:pPr>
              <w:spacing w:after="0"/>
              <w:rPr>
                <w:sz w:val="18"/>
                <w:szCs w:val="18"/>
                <w:color w:val="auto"/>
              </w:rPr>
            </w:pPr>
          </w:p>
        </w:tc>
        <w:tc>
          <w:tcPr>
            <w:tcW w:w="7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31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Balance Sheets -</w:t>
            </w:r>
          </w:p>
        </w:tc>
        <w:tc>
          <w:tcPr>
            <w:tcW w:w="7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tcBorders>
              <w:righ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88"/>
        </w:trPr>
        <w:tc>
          <w:tcPr>
            <w:tcW w:w="78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right w:val="single" w:sz="8" w:color="CCEEFF"/>
            </w:tcBorders>
            <w:shd w:val="clear" w:color="auto" w:fill="CCEEFF"/>
          </w:tcPr>
          <w:p>
            <w:pPr>
              <w:spacing w:after="0"/>
              <w:rPr>
                <w:sz w:val="7"/>
                <w:szCs w:val="7"/>
                <w:color w:val="auto"/>
              </w:rPr>
            </w:pPr>
          </w:p>
        </w:tc>
        <w:tc>
          <w:tcPr>
            <w:tcW w:w="3040" w:type="dxa"/>
            <w:vAlign w:val="bottom"/>
            <w:tcBorders>
              <w:top w:val="single" w:sz="8" w:color="0000FF"/>
            </w:tcBorders>
            <w:gridSpan w:val="9"/>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November 29, 2025 and May 31, 2025</w:t>
            </w:r>
          </w:p>
        </w:tc>
        <w:tc>
          <w:tcPr>
            <w:tcW w:w="3270" w:type="dxa"/>
            <w:vAlign w:val="bottom"/>
            <w:tcBorders>
              <w:top w:val="single" w:sz="8" w:color="CCEEFF"/>
            </w:tcBorders>
            <w:gridSpan w:val="11"/>
            <w:vMerge w:val="restart"/>
            <w:shd w:val="clear" w:color="auto" w:fill="CCEEFF"/>
          </w:tcPr>
          <w:p>
            <w:pPr>
              <w:spacing w:after="0"/>
              <w:rPr>
                <w:sz w:val="7"/>
                <w:szCs w:val="7"/>
                <w:color w:val="auto"/>
              </w:rPr>
            </w:pPr>
          </w:p>
        </w:tc>
        <w:tc>
          <w:tcPr>
            <w:tcW w:w="7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300" w:type="dxa"/>
            <w:vAlign w:val="bottom"/>
            <w:tcBorders>
              <w:top w:val="single" w:sz="8" w:color="CCEEFF"/>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78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right w:val="single" w:sz="8" w:color="CCEEFF"/>
            </w:tcBorders>
            <w:shd w:val="clear" w:color="auto" w:fill="CCEEFF"/>
          </w:tcPr>
          <w:p>
            <w:pPr>
              <w:spacing w:after="0"/>
              <w:rPr>
                <w:sz w:val="7"/>
                <w:szCs w:val="7"/>
                <w:color w:val="auto"/>
              </w:rPr>
            </w:pPr>
          </w:p>
        </w:tc>
        <w:tc>
          <w:tcPr>
            <w:tcW w:w="3040" w:type="dxa"/>
            <w:vAlign w:val="bottom"/>
            <w:tcBorders>
              <w:top w:val="single" w:sz="8" w:color="0000FF"/>
            </w:tcBorders>
            <w:gridSpan w:val="9"/>
            <w:vMerge w:val="continue"/>
            <w:shd w:val="clear" w:color="auto" w:fill="CCEEFF"/>
          </w:tcPr>
          <w:p>
            <w:pPr>
              <w:spacing w:after="0"/>
              <w:rPr>
                <w:sz w:val="7"/>
                <w:szCs w:val="7"/>
                <w:color w:val="auto"/>
              </w:rPr>
            </w:pPr>
          </w:p>
        </w:tc>
        <w:tc>
          <w:tcPr>
            <w:tcW w:w="3270" w:type="dxa"/>
            <w:vAlign w:val="bottom"/>
            <w:tcBorders>
              <w:top w:val="single" w:sz="8" w:color="CCEEFF"/>
            </w:tcBorders>
            <w:gridSpan w:val="11"/>
            <w:vMerge w:val="continue"/>
            <w:shd w:val="clear" w:color="auto" w:fill="CCEEFF"/>
          </w:tcPr>
          <w:p>
            <w:pPr>
              <w:spacing w:after="0"/>
              <w:rPr>
                <w:sz w:val="7"/>
                <w:szCs w:val="7"/>
                <w:color w:val="auto"/>
              </w:rPr>
            </w:pPr>
          </w:p>
        </w:tc>
        <w:tc>
          <w:tcPr>
            <w:tcW w:w="7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0000FF"/>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31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Income -</w:t>
            </w:r>
          </w:p>
        </w:tc>
        <w:tc>
          <w:tcPr>
            <w:tcW w:w="7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tcBorders>
              <w:righ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7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10" w:type="dxa"/>
            <w:vAlign w:val="bottom"/>
            <w:shd w:val="clear" w:color="auto" w:fill="CCEEFF"/>
          </w:tcPr>
          <w:p>
            <w:pPr>
              <w:spacing w:after="0" w:line="20" w:lineRule="exact"/>
              <w:rPr>
                <w:sz w:val="1"/>
                <w:szCs w:val="1"/>
                <w:color w:val="auto"/>
              </w:rPr>
            </w:pPr>
          </w:p>
        </w:tc>
        <w:tc>
          <w:tcPr>
            <w:tcW w:w="7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3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6310" w:type="dxa"/>
            <w:vAlign w:val="bottom"/>
            <w:gridSpan w:val="20"/>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Thirteen and Twenty-six Weeks Ended November 29, 2025 and November 30, 2024</w:t>
            </w:r>
          </w:p>
        </w:tc>
        <w:tc>
          <w:tcPr>
            <w:tcW w:w="7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3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right w:val="single" w:sz="8" w:color="CCEEFF"/>
            </w:tcBorders>
            <w:shd w:val="clear" w:color="auto" w:fill="CCEEFF"/>
          </w:tcPr>
          <w:p>
            <w:pPr>
              <w:spacing w:after="0"/>
              <w:rPr>
                <w:sz w:val="8"/>
                <w:szCs w:val="8"/>
                <w:color w:val="auto"/>
              </w:rPr>
            </w:pPr>
          </w:p>
        </w:tc>
        <w:tc>
          <w:tcPr>
            <w:tcW w:w="6310" w:type="dxa"/>
            <w:vAlign w:val="bottom"/>
            <w:tcBorders>
              <w:top w:val="single" w:sz="8" w:color="CCEEFF"/>
            </w:tcBorders>
            <w:gridSpan w:val="20"/>
            <w:vMerge w:val="continue"/>
            <w:shd w:val="clear" w:color="auto" w:fill="CCEEFF"/>
          </w:tcPr>
          <w:p>
            <w:pPr>
              <w:spacing w:after="0"/>
              <w:rPr>
                <w:sz w:val="8"/>
                <w:szCs w:val="8"/>
                <w:color w:val="auto"/>
              </w:rPr>
            </w:pPr>
          </w:p>
        </w:tc>
        <w:tc>
          <w:tcPr>
            <w:tcW w:w="7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8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31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w:t>
            </w:r>
          </w:p>
        </w:tc>
        <w:tc>
          <w:tcPr>
            <w:tcW w:w="7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tcBorders>
              <w:righ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10" w:type="dxa"/>
            <w:vAlign w:val="bottom"/>
            <w:shd w:val="clear" w:color="auto" w:fill="CCEEFF"/>
          </w:tcPr>
          <w:p>
            <w:pPr>
              <w:spacing w:after="0" w:line="20" w:lineRule="exact"/>
              <w:rPr>
                <w:sz w:val="1"/>
                <w:szCs w:val="1"/>
                <w:color w:val="auto"/>
              </w:rPr>
            </w:pPr>
          </w:p>
        </w:tc>
        <w:tc>
          <w:tcPr>
            <w:tcW w:w="7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3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6310" w:type="dxa"/>
            <w:vAlign w:val="bottom"/>
            <w:gridSpan w:val="20"/>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Thirteen and Twenty-six Weeks Ended November 29, 2025 and November 30, 2024</w:t>
            </w:r>
          </w:p>
        </w:tc>
        <w:tc>
          <w:tcPr>
            <w:tcW w:w="7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3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right w:val="single" w:sz="8" w:color="CCEEFF"/>
            </w:tcBorders>
            <w:shd w:val="clear" w:color="auto" w:fill="CCEEFF"/>
          </w:tcPr>
          <w:p>
            <w:pPr>
              <w:spacing w:after="0"/>
              <w:rPr>
                <w:sz w:val="8"/>
                <w:szCs w:val="8"/>
                <w:color w:val="auto"/>
              </w:rPr>
            </w:pPr>
          </w:p>
        </w:tc>
        <w:tc>
          <w:tcPr>
            <w:tcW w:w="6310" w:type="dxa"/>
            <w:vAlign w:val="bottom"/>
            <w:tcBorders>
              <w:top w:val="single" w:sz="8" w:color="CCEEFF"/>
            </w:tcBorders>
            <w:gridSpan w:val="20"/>
            <w:vMerge w:val="continue"/>
            <w:shd w:val="clear" w:color="auto" w:fill="CCEEFF"/>
          </w:tcPr>
          <w:p>
            <w:pPr>
              <w:spacing w:after="0"/>
              <w:rPr>
                <w:sz w:val="8"/>
                <w:szCs w:val="8"/>
                <w:color w:val="auto"/>
              </w:rPr>
            </w:pPr>
          </w:p>
        </w:tc>
        <w:tc>
          <w:tcPr>
            <w:tcW w:w="7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8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3840" w:type="dxa"/>
            <w:vAlign w:val="bottom"/>
            <w:tcBorders>
              <w:bottom w:val="single" w:sz="8" w:color="0000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w:t>
            </w:r>
          </w:p>
        </w:tc>
        <w:tc>
          <w:tcPr>
            <w:tcW w:w="2470" w:type="dxa"/>
            <w:vAlign w:val="bottom"/>
            <w:tcBorders>
              <w:bottom w:val="single" w:sz="8" w:color="CCEEFF"/>
            </w:tcBorders>
            <w:gridSpan w:val="7"/>
            <w:shd w:val="clear" w:color="auto" w:fill="CCEEFF"/>
          </w:tcPr>
          <w:p>
            <w:pPr>
              <w:spacing w:after="0"/>
              <w:rPr>
                <w:sz w:val="15"/>
                <w:szCs w:val="15"/>
                <w:color w:val="auto"/>
              </w:rPr>
            </w:pPr>
          </w:p>
        </w:tc>
        <w:tc>
          <w:tcPr>
            <w:tcW w:w="7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righ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6310" w:type="dxa"/>
            <w:vAlign w:val="bottom"/>
            <w:gridSpan w:val="20"/>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Twenty-six Weeks Ended November 29, 2025 and November 30, 2024</w:t>
            </w:r>
          </w:p>
        </w:tc>
        <w:tc>
          <w:tcPr>
            <w:tcW w:w="7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3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right w:val="single" w:sz="8" w:color="CCEEFF"/>
            </w:tcBorders>
            <w:shd w:val="clear" w:color="auto" w:fill="CCEEFF"/>
          </w:tcPr>
          <w:p>
            <w:pPr>
              <w:spacing w:after="0"/>
              <w:rPr>
                <w:sz w:val="8"/>
                <w:szCs w:val="8"/>
                <w:color w:val="auto"/>
              </w:rPr>
            </w:pPr>
          </w:p>
        </w:tc>
        <w:tc>
          <w:tcPr>
            <w:tcW w:w="6310" w:type="dxa"/>
            <w:vAlign w:val="bottom"/>
            <w:tcBorders>
              <w:top w:val="single" w:sz="8" w:color="CCEEFF"/>
            </w:tcBorders>
            <w:gridSpan w:val="20"/>
            <w:vMerge w:val="continue"/>
            <w:shd w:val="clear" w:color="auto" w:fill="CCEEFF"/>
          </w:tcPr>
          <w:p>
            <w:pPr>
              <w:spacing w:after="0"/>
              <w:rPr>
                <w:sz w:val="8"/>
                <w:szCs w:val="8"/>
                <w:color w:val="auto"/>
              </w:rPr>
            </w:pPr>
          </w:p>
        </w:tc>
        <w:tc>
          <w:tcPr>
            <w:tcW w:w="7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gridSpan w:val="2"/>
          </w:tcPr>
          <w:p>
            <w:pPr>
              <w:spacing w:after="0"/>
              <w:rPr>
                <w:sz w:val="17"/>
                <w:szCs w:val="17"/>
                <w:color w:val="auto"/>
              </w:rPr>
            </w:pPr>
          </w:p>
        </w:tc>
        <w:tc>
          <w:tcPr>
            <w:tcW w:w="112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34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3100" w:type="dxa"/>
            <w:vAlign w:val="bottom"/>
            <w:tcBorders>
              <w:bottom w:val="single" w:sz="8" w:color="0000FF"/>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Management’s Discussion and Analysis of</w:t>
            </w:r>
          </w:p>
        </w:tc>
        <w:tc>
          <w:tcPr>
            <w:tcW w:w="3210" w:type="dxa"/>
            <w:vAlign w:val="bottom"/>
            <w:tcBorders>
              <w:bottom w:val="single" w:sz="8" w:color="CCEEFF"/>
            </w:tcBorders>
            <w:gridSpan w:val="10"/>
            <w:shd w:val="clear" w:color="auto" w:fill="CCEEFF"/>
          </w:tcPr>
          <w:p>
            <w:pPr>
              <w:spacing w:after="0"/>
              <w:rPr>
                <w:sz w:val="16"/>
                <w:szCs w:val="16"/>
                <w:color w:val="auto"/>
              </w:rPr>
            </w:pPr>
          </w:p>
        </w:tc>
        <w:tc>
          <w:tcPr>
            <w:tcW w:w="7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75"/>
        </w:trPr>
        <w:tc>
          <w:tcPr>
            <w:tcW w:w="7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6310" w:type="dxa"/>
            <w:vAlign w:val="bottom"/>
            <w:gridSpan w:val="20"/>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Financial Condition and Results of Operations</w:t>
            </w:r>
          </w:p>
        </w:tc>
        <w:tc>
          <w:tcPr>
            <w:tcW w:w="7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300" w:type="dxa"/>
            <w:vAlign w:val="bottom"/>
            <w:tcBorders>
              <w:right w:val="single" w:sz="8" w:color="CCEEFF"/>
            </w:tcBorders>
            <w:gridSpan w:val="3"/>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right w:val="single" w:sz="8" w:color="CCEEFF"/>
            </w:tcBorders>
            <w:shd w:val="clear" w:color="auto" w:fill="CCEEFF"/>
          </w:tcPr>
          <w:p>
            <w:pPr>
              <w:spacing w:after="0"/>
              <w:rPr>
                <w:sz w:val="8"/>
                <w:szCs w:val="8"/>
                <w:color w:val="auto"/>
              </w:rPr>
            </w:pPr>
          </w:p>
        </w:tc>
        <w:tc>
          <w:tcPr>
            <w:tcW w:w="6310" w:type="dxa"/>
            <w:vAlign w:val="bottom"/>
            <w:tcBorders>
              <w:top w:val="single" w:sz="8" w:color="CCEEFF"/>
            </w:tcBorders>
            <w:gridSpan w:val="20"/>
            <w:vMerge w:val="continue"/>
            <w:shd w:val="clear" w:color="auto" w:fill="CCEEFF"/>
          </w:tcPr>
          <w:p>
            <w:pPr>
              <w:spacing w:after="0"/>
              <w:rPr>
                <w:sz w:val="8"/>
                <w:szCs w:val="8"/>
                <w:color w:val="auto"/>
              </w:rPr>
            </w:pPr>
          </w:p>
        </w:tc>
        <w:tc>
          <w:tcPr>
            <w:tcW w:w="7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4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gridSpan w:val="2"/>
          </w:tcPr>
          <w:p>
            <w:pPr>
              <w:spacing w:after="0"/>
              <w:rPr>
                <w:sz w:val="17"/>
                <w:szCs w:val="17"/>
                <w:color w:val="auto"/>
              </w:rPr>
            </w:pPr>
          </w:p>
        </w:tc>
        <w:tc>
          <w:tcPr>
            <w:tcW w:w="112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638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3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Borders>
              <w:right w:val="single" w:sz="8" w:color="CCEEFF"/>
            </w:tcBorders>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638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134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6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134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gridSpan w:val="2"/>
          </w:tcPr>
          <w:p>
            <w:pPr>
              <w:spacing w:after="0"/>
              <w:rPr>
                <w:sz w:val="17"/>
                <w:szCs w:val="17"/>
                <w:color w:val="auto"/>
              </w:rPr>
            </w:pPr>
          </w:p>
        </w:tc>
        <w:tc>
          <w:tcPr>
            <w:tcW w:w="112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34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gridSpan w:val="2"/>
          </w:tcPr>
          <w:p>
            <w:pPr>
              <w:spacing w:after="0"/>
              <w:rPr>
                <w:sz w:val="17"/>
                <w:szCs w:val="17"/>
                <w:color w:val="auto"/>
              </w:rPr>
            </w:pPr>
          </w:p>
        </w:tc>
        <w:tc>
          <w:tcPr>
            <w:tcW w:w="112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6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134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gridSpan w:val="2"/>
          </w:tcPr>
          <w:p>
            <w:pPr>
              <w:spacing w:after="0"/>
              <w:rPr>
                <w:sz w:val="17"/>
                <w:szCs w:val="17"/>
                <w:color w:val="auto"/>
              </w:rPr>
            </w:pPr>
          </w:p>
        </w:tc>
        <w:tc>
          <w:tcPr>
            <w:tcW w:w="112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134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10" w:type="dxa"/>
            <w:vAlign w:val="bottom"/>
            <w:tcBorders>
              <w:top w:val="single" w:sz="8" w:color="CCEEFF"/>
            </w:tcBorders>
          </w:tcPr>
          <w:p>
            <w:pPr>
              <w:spacing w:after="0"/>
              <w:rPr>
                <w:sz w:val="17"/>
                <w:szCs w:val="17"/>
                <w:color w:val="auto"/>
              </w:rPr>
            </w:pPr>
          </w:p>
        </w:tc>
        <w:tc>
          <w:tcPr>
            <w:tcW w:w="7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FF"/>
                <w:w w:val="97"/>
              </w:rPr>
              <w:t>Signatures</w:t>
            </w:r>
          </w:p>
        </w:tc>
        <w:tc>
          <w:tcPr>
            <w:tcW w:w="24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70" w:type="dxa"/>
            <w:vAlign w:val="bottom"/>
            <w:shd w:val="clear" w:color="auto" w:fill="CCEEFF"/>
          </w:tcPr>
          <w:p>
            <w:pPr>
              <w:spacing w:after="0"/>
              <w:rPr>
                <w:sz w:val="15"/>
                <w:szCs w:val="15"/>
                <w:color w:val="auto"/>
              </w:rPr>
            </w:pPr>
          </w:p>
        </w:tc>
        <w:tc>
          <w:tcPr>
            <w:tcW w:w="134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7"/>
        </w:trPr>
        <w:tc>
          <w:tcPr>
            <w:tcW w:w="780" w:type="dxa"/>
            <w:vAlign w:val="bottom"/>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10" w:type="dxa"/>
            <w:vAlign w:val="bottom"/>
            <w:shd w:val="clear" w:color="auto" w:fill="CCEEFF"/>
          </w:tcPr>
          <w:p>
            <w:pPr>
              <w:spacing w:after="0"/>
              <w:rPr>
                <w:sz w:val="2"/>
                <w:szCs w:val="2"/>
                <w:color w:val="auto"/>
              </w:rPr>
            </w:pPr>
          </w:p>
        </w:tc>
        <w:tc>
          <w:tcPr>
            <w:tcW w:w="7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520"/>
          </w:cols>
          <w:pgMar w:left="1320" w:top="297" w:right="10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520"/>
          </w:cols>
          <w:pgMar w:left="1320" w:top="297" w:right="10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for par value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20" w:type="dxa"/>
            <w:vAlign w:val="bottom"/>
          </w:tcPr>
          <w:p>
            <w:pPr>
              <w:spacing w:after="0"/>
              <w:rPr>
                <w:sz w:val="18"/>
                <w:szCs w:val="18"/>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November 29, 2025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May 31, 2025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6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369,450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499,392</w:t>
            </w:r>
          </w:p>
        </w:tc>
        <w:tc>
          <w:tcPr>
            <w:tcW w:w="20" w:type="dxa"/>
            <w:vAlign w:val="bottom"/>
            <w:shd w:val="clear" w:color="auto" w:fill="CCEEFF"/>
          </w:tcPr>
          <w:p>
            <w:pPr>
              <w:spacing w:after="0"/>
              <w:rPr>
                <w:sz w:val="21"/>
                <w:szCs w:val="21"/>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892,708</w:t>
            </w:r>
          </w:p>
        </w:tc>
        <w:tc>
          <w:tcPr>
            <w:tcW w:w="20" w:type="dxa"/>
            <w:vAlign w:val="bottom"/>
          </w:tcPr>
          <w:p>
            <w:pPr>
              <w:spacing w:after="0"/>
              <w:rPr>
                <w:sz w:val="18"/>
                <w:szCs w:val="18"/>
                <w:color w:val="auto"/>
              </w:rPr>
            </w:pPr>
          </w:p>
        </w:tc>
      </w:tr>
      <w:tr>
        <w:trPr>
          <w:trHeight w:val="24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235,377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259,304</w:t>
            </w:r>
          </w:p>
        </w:tc>
        <w:tc>
          <w:tcPr>
            <w:tcW w:w="20" w:type="dxa"/>
            <w:vAlign w:val="bottom"/>
            <w:shd w:val="clear" w:color="auto" w:fill="CCEEFF"/>
          </w:tcPr>
          <w:p>
            <w:pPr>
              <w:spacing w:after="0"/>
              <w:rPr>
                <w:sz w:val="21"/>
                <w:szCs w:val="21"/>
                <w:color w:val="auto"/>
              </w:rPr>
            </w:pPr>
          </w:p>
        </w:tc>
      </w:tr>
      <w:tr>
        <w:trPr>
          <w:trHeight w:val="229"/>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20" w:type="dxa"/>
            <w:vAlign w:val="bottom"/>
          </w:tcPr>
          <w:p>
            <w:pPr>
              <w:spacing w:after="0"/>
              <w:rPr>
                <w:sz w:val="19"/>
                <w:szCs w:val="19"/>
                <w:color w:val="auto"/>
              </w:rPr>
            </w:pPr>
          </w:p>
        </w:tc>
      </w:tr>
      <w:tr>
        <w:trPr>
          <w:trHeight w:val="230"/>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340,588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295,670</w:t>
            </w:r>
          </w:p>
        </w:tc>
        <w:tc>
          <w:tcPr>
            <w:tcW w:w="20" w:type="dxa"/>
            <w:vAlign w:val="bottom"/>
            <w:shd w:val="clear" w:color="auto" w:fill="CCEEFF"/>
          </w:tcPr>
          <w:p>
            <w:pPr>
              <w:spacing w:after="0"/>
              <w:rPr>
                <w:sz w:val="19"/>
                <w:szCs w:val="19"/>
                <w:color w:val="auto"/>
              </w:rPr>
            </w:pPr>
          </w:p>
        </w:tc>
      </w:tr>
      <w:tr>
        <w:trPr>
          <w:trHeight w:val="223"/>
        </w:trPr>
        <w:tc>
          <w:tcPr>
            <w:tcW w:w="6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20" w:type="dxa"/>
            <w:vAlign w:val="bottom"/>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2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1,968,110</w:t>
            </w:r>
          </w:p>
        </w:tc>
        <w:tc>
          <w:tcPr>
            <w:tcW w:w="20" w:type="dxa"/>
            <w:vAlign w:val="bottom"/>
            <w:shd w:val="clear" w:color="auto" w:fill="CCEEFF"/>
          </w:tcPr>
          <w:p>
            <w:pPr>
              <w:spacing w:after="0"/>
              <w:rPr>
                <w:sz w:val="18"/>
                <w:szCs w:val="18"/>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1,026,684</w:t>
            </w:r>
          </w:p>
        </w:tc>
        <w:tc>
          <w:tcPr>
            <w:tcW w:w="20" w:type="dxa"/>
            <w:vAlign w:val="bottom"/>
          </w:tcPr>
          <w:p>
            <w:pPr>
              <w:spacing w:after="0"/>
              <w:rPr>
                <w:sz w:val="19"/>
                <w:szCs w:val="19"/>
                <w:color w:val="auto"/>
              </w:rPr>
            </w:pP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w:t>
            </w:r>
          </w:p>
        </w:tc>
        <w:tc>
          <w:tcPr>
            <w:tcW w:w="20" w:type="dxa"/>
            <w:vAlign w:val="bottom"/>
            <w:shd w:val="clear" w:color="auto" w:fill="CCEEFF"/>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46,776</w:t>
            </w:r>
          </w:p>
        </w:tc>
        <w:tc>
          <w:tcPr>
            <w:tcW w:w="20" w:type="dxa"/>
            <w:vAlign w:val="bottom"/>
          </w:tcPr>
          <w:p>
            <w:pPr>
              <w:spacing w:after="0"/>
              <w:rPr>
                <w:sz w:val="19"/>
                <w:szCs w:val="19"/>
                <w:color w:val="auto"/>
              </w:rPr>
            </w:pP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w:t>
            </w:r>
          </w:p>
        </w:tc>
        <w:tc>
          <w:tcPr>
            <w:tcW w:w="20" w:type="dxa"/>
            <w:vAlign w:val="bottom"/>
            <w:shd w:val="clear" w:color="auto" w:fill="CCEEFF"/>
          </w:tcPr>
          <w:p>
            <w:pPr>
              <w:spacing w:after="0"/>
              <w:rPr>
                <w:sz w:val="19"/>
                <w:szCs w:val="19"/>
                <w:color w:val="auto"/>
              </w:rPr>
            </w:pPr>
          </w:p>
        </w:tc>
      </w:tr>
      <w:tr>
        <w:trPr>
          <w:trHeight w:val="229"/>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20" w:type="dxa"/>
            <w:vAlign w:val="bottom"/>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16,797</w:t>
            </w:r>
          </w:p>
        </w:tc>
        <w:tc>
          <w:tcPr>
            <w:tcW w:w="20" w:type="dxa"/>
            <w:vAlign w:val="bottom"/>
          </w:tcPr>
          <w:p>
            <w:pPr>
              <w:spacing w:after="0"/>
              <w:rPr>
                <w:sz w:val="19"/>
                <w:szCs w:val="19"/>
                <w:color w:val="auto"/>
              </w:rPr>
            </w:pPr>
          </w:p>
        </w:tc>
      </w:tr>
      <w:tr>
        <w:trPr>
          <w:trHeight w:val="23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3,144,064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3,084,619</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4"/>
        </w:trPr>
        <w:tc>
          <w:tcPr>
            <w:tcW w:w="6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101,033</w:t>
            </w:r>
          </w:p>
        </w:tc>
        <w:tc>
          <w:tcPr>
            <w:tcW w:w="20" w:type="dxa"/>
            <w:vAlign w:val="bottom"/>
            <w:shd w:val="clear" w:color="auto" w:fill="CCEEFF"/>
          </w:tcPr>
          <w:p>
            <w:pPr>
              <w:spacing w:after="0"/>
              <w:rPr>
                <w:sz w:val="19"/>
                <w:szCs w:val="19"/>
                <w:color w:val="auto"/>
              </w:rPr>
            </w:pPr>
          </w:p>
        </w:tc>
      </w:tr>
      <w:tr>
        <w:trPr>
          <w:trHeight w:val="230"/>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60,263</w:t>
            </w:r>
          </w:p>
        </w:tc>
        <w:tc>
          <w:tcPr>
            <w:tcW w:w="20" w:type="dxa"/>
            <w:vAlign w:val="bottom"/>
          </w:tcPr>
          <w:p>
            <w:pPr>
              <w:spacing w:after="0"/>
              <w:rPr>
                <w:sz w:val="19"/>
                <w:szCs w:val="19"/>
                <w:color w:val="auto"/>
              </w:rPr>
            </w:pPr>
          </w:p>
        </w:tc>
      </w:tr>
      <w:tr>
        <w:trPr>
          <w:trHeight w:val="230"/>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114,163</w:t>
            </w:r>
          </w:p>
        </w:tc>
        <w:tc>
          <w:tcPr>
            <w:tcW w:w="20" w:type="dxa"/>
            <w:vAlign w:val="bottom"/>
            <w:shd w:val="clear" w:color="auto" w:fill="CCEEFF"/>
          </w:tcPr>
          <w:p>
            <w:pPr>
              <w:spacing w:after="0"/>
              <w:rPr>
                <w:sz w:val="19"/>
                <w:szCs w:val="19"/>
                <w:color w:val="auto"/>
              </w:rPr>
            </w:pPr>
          </w:p>
        </w:tc>
      </w:tr>
      <w:tr>
        <w:trPr>
          <w:trHeight w:val="229"/>
        </w:trPr>
        <w:tc>
          <w:tcPr>
            <w:tcW w:w="6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31,688</w:t>
            </w:r>
          </w:p>
        </w:tc>
        <w:tc>
          <w:tcPr>
            <w:tcW w:w="20" w:type="dxa"/>
            <w:vAlign w:val="bottom"/>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32,912</w:t>
            </w:r>
          </w:p>
        </w:tc>
        <w:tc>
          <w:tcPr>
            <w:tcW w:w="20" w:type="dxa"/>
            <w:vAlign w:val="bottom"/>
          </w:tcPr>
          <w:p>
            <w:pPr>
              <w:spacing w:after="0"/>
              <w:rPr>
                <w:sz w:val="19"/>
                <w:szCs w:val="19"/>
                <w:color w:val="auto"/>
              </w:rPr>
            </w:pPr>
          </w:p>
        </w:tc>
      </w:tr>
      <w:tr>
        <w:trPr>
          <w:trHeight w:val="22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308,371</w:t>
            </w:r>
          </w:p>
        </w:tc>
        <w:tc>
          <w:tcPr>
            <w:tcW w:w="20" w:type="dxa"/>
            <w:vAlign w:val="bottom"/>
            <w:shd w:val="clear" w:color="auto" w:fill="CCEEFF"/>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55,582</w:t>
            </w:r>
          </w:p>
        </w:tc>
        <w:tc>
          <w:tcPr>
            <w:tcW w:w="20" w:type="dxa"/>
            <w:vAlign w:val="bottom"/>
          </w:tcPr>
          <w:p>
            <w:pPr>
              <w:spacing w:after="0"/>
              <w:rPr>
                <w:sz w:val="19"/>
                <w:szCs w:val="19"/>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154,651</w:t>
            </w:r>
          </w:p>
        </w:tc>
        <w:tc>
          <w:tcPr>
            <w:tcW w:w="20" w:type="dxa"/>
            <w:vAlign w:val="bottom"/>
            <w:shd w:val="clear" w:color="auto" w:fill="CCEEFF"/>
          </w:tcPr>
          <w:p>
            <w:pPr>
              <w:spacing w:after="0"/>
              <w:rPr>
                <w:sz w:val="19"/>
                <w:szCs w:val="19"/>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518,604</w:t>
            </w:r>
          </w:p>
        </w:tc>
        <w:tc>
          <w:tcPr>
            <w:tcW w:w="20" w:type="dxa"/>
            <w:vAlign w:val="bottom"/>
          </w:tcPr>
          <w:p>
            <w:pPr>
              <w:spacing w:after="0"/>
              <w:rPr>
                <w:sz w:val="18"/>
                <w:szCs w:val="18"/>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see Note 10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($0.01 par value) - authorized 120,000 shares, issued 75,061 shares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shd w:val="clear" w:color="auto" w:fill="CCEEFF"/>
          </w:tcPr>
          <w:p>
            <w:pPr>
              <w:spacing w:after="0"/>
              <w:rPr>
                <w:sz w:val="21"/>
                <w:szCs w:val="2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80,845</w:t>
            </w:r>
          </w:p>
        </w:tc>
        <w:tc>
          <w:tcPr>
            <w:tcW w:w="20" w:type="dxa"/>
            <w:vAlign w:val="bottom"/>
          </w:tcPr>
          <w:p>
            <w:pPr>
              <w:spacing w:after="0"/>
              <w:rPr>
                <w:sz w:val="18"/>
                <w:szCs w:val="18"/>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2,767,347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2,565,928</w:t>
            </w:r>
          </w:p>
        </w:tc>
        <w:tc>
          <w:tcPr>
            <w:tcW w:w="20" w:type="dxa"/>
            <w:vAlign w:val="bottom"/>
            <w:shd w:val="clear" w:color="auto" w:fill="CCEEFF"/>
          </w:tcPr>
          <w:p>
            <w:pPr>
              <w:spacing w:after="0"/>
              <w:rPr>
                <w:sz w:val="19"/>
                <w:szCs w:val="19"/>
                <w:color w:val="auto"/>
              </w:rPr>
            </w:pPr>
          </w:p>
        </w:tc>
      </w:tr>
      <w:tr>
        <w:trPr>
          <w:trHeight w:val="24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4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in treasury at cost – 27,407 shares at November 29, 2025 and 26,567</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shares at May 31, 2025</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(161,477)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(85,893)</w:t>
            </w:r>
          </w:p>
        </w:tc>
      </w:tr>
      <w:tr>
        <w:trPr>
          <w:trHeight w:val="223"/>
        </w:trPr>
        <w:tc>
          <w:tcPr>
            <w:tcW w:w="6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Cal-Maine Foods, Inc. stockholders’ equity</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2,691,461</w:t>
            </w: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2,560,624</w:t>
            </w:r>
          </w:p>
        </w:tc>
        <w:tc>
          <w:tcPr>
            <w:tcW w:w="20" w:type="dxa"/>
            <w:vAlign w:val="bottom"/>
            <w:tcBorders>
              <w:top w:val="single" w:sz="8" w:color="CCEEFF"/>
            </w:tcBorders>
          </w:tcPr>
          <w:p>
            <w:pPr>
              <w:spacing w:after="0"/>
              <w:rPr>
                <w:sz w:val="19"/>
                <w:szCs w:val="19"/>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consolidated entity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0" w:type="dxa"/>
            <w:vAlign w:val="bottom"/>
            <w:shd w:val="clear" w:color="auto" w:fill="CCEEFF"/>
          </w:tcPr>
          <w:p>
            <w:pPr>
              <w:spacing w:after="0"/>
              <w:rPr>
                <w:sz w:val="19"/>
                <w:szCs w:val="19"/>
                <w:color w:val="auto"/>
              </w:rPr>
            </w:pPr>
          </w:p>
        </w:tc>
      </w:tr>
      <w:tr>
        <w:trPr>
          <w:trHeight w:val="223"/>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2,697,766</w:t>
            </w:r>
          </w:p>
        </w:tc>
        <w:tc>
          <w:tcPr>
            <w:tcW w:w="20" w:type="dxa"/>
            <w:vAlign w:val="bottom"/>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2,566,015</w:t>
            </w:r>
          </w:p>
        </w:tc>
        <w:tc>
          <w:tcPr>
            <w:tcW w:w="20" w:type="dxa"/>
            <w:vAlign w:val="bottom"/>
          </w:tcPr>
          <w:p>
            <w:pPr>
              <w:spacing w:after="0"/>
              <w:rPr>
                <w:sz w:val="19"/>
                <w:szCs w:val="19"/>
                <w:color w:val="auto"/>
              </w:rPr>
            </w:pPr>
          </w:p>
        </w:tc>
      </w:tr>
      <w:tr>
        <w:trPr>
          <w:trHeight w:val="23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3,144,064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3,084,619</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260"/>
          </w:cols>
          <w:pgMar w:left="1320" w:top="309" w:right="13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85"/>
        </w:trPr>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40" w:type="dxa"/>
            <w:vAlign w:val="bottom"/>
            <w:gridSpan w:val="9"/>
          </w:tcPr>
          <w:p>
            <w:pPr>
              <w:jc w:val="center"/>
              <w:ind w:left="109"/>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00" w:type="dxa"/>
            <w:vAlign w:val="bottom"/>
            <w:gridSpan w:val="1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40" w:type="dxa"/>
            <w:vAlign w:val="bottom"/>
            <w:gridSpan w:val="9"/>
          </w:tcPr>
          <w:p>
            <w:pPr>
              <w:jc w:val="center"/>
              <w:ind w:left="10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5"/>
          </w:tcPr>
          <w:p>
            <w:pPr>
              <w:jc w:val="center"/>
              <w:ind w:left="49"/>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Thirteen Weeks Ended</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469"/>
              <w:spacing w:after="0"/>
              <w:rPr>
                <w:sz w:val="20"/>
                <w:szCs w:val="20"/>
                <w:color w:val="auto"/>
              </w:rPr>
            </w:pPr>
            <w:r>
              <w:rPr>
                <w:rFonts w:ascii="Times New Roman" w:cs="Times New Roman" w:eastAsia="Times New Roman" w:hAnsi="Times New Roman"/>
                <w:sz w:val="18"/>
                <w:szCs w:val="18"/>
                <w:color w:val="auto"/>
              </w:rPr>
              <w:t>Twenty-six Weeks Ended</w:t>
            </w:r>
          </w:p>
        </w:tc>
        <w:tc>
          <w:tcPr>
            <w:tcW w:w="20" w:type="dxa"/>
            <w:vAlign w:val="bottom"/>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9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November 29, 2025 November 30, 2024 November 29, 2025 November 30, 2024</w:t>
            </w:r>
          </w:p>
        </w:tc>
      </w:tr>
      <w:tr>
        <w:trPr>
          <w:trHeight w:val="223"/>
        </w:trPr>
        <w:tc>
          <w:tcPr>
            <w:tcW w:w="2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769,498</w:t>
            </w:r>
          </w:p>
        </w:tc>
        <w:tc>
          <w:tcPr>
            <w:tcW w:w="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954,671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1,740,542</w:t>
            </w:r>
          </w:p>
        </w:tc>
        <w:tc>
          <w:tcPr>
            <w:tcW w:w="20" w:type="dxa"/>
            <w:vAlign w:val="bottom"/>
            <w:shd w:val="clear" w:color="auto" w:fill="CCEEFF"/>
          </w:tcPr>
          <w:p>
            <w:pPr>
              <w:spacing w:after="0"/>
              <w:rPr>
                <w:sz w:val="19"/>
                <w:szCs w:val="19"/>
                <w:color w:val="auto"/>
              </w:rPr>
            </w:pPr>
          </w:p>
        </w:tc>
      </w:tr>
      <w:tr>
        <w:trPr>
          <w:trHeight w:val="216"/>
        </w:trPr>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562,112</w:t>
            </w: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598,629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1,173,400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1,137,282</w:t>
            </w:r>
          </w:p>
        </w:tc>
        <w:tc>
          <w:tcPr>
            <w:tcW w:w="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207,386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356,042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518,700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603,260</w:t>
            </w:r>
          </w:p>
        </w:tc>
        <w:tc>
          <w:tcPr>
            <w:tcW w:w="20" w:type="dxa"/>
            <w:vAlign w:val="bottom"/>
            <w:shd w:val="clear" w:color="auto" w:fill="CCEEFF"/>
          </w:tcPr>
          <w:p>
            <w:pPr>
              <w:spacing w:after="0"/>
              <w:rPr>
                <w:sz w:val="17"/>
                <w:szCs w:val="17"/>
                <w:color w:val="auto"/>
              </w:rPr>
            </w:pPr>
          </w:p>
        </w:tc>
      </w:tr>
      <w:tr>
        <w:trPr>
          <w:trHeight w:val="23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139,565</w:t>
            </w:r>
          </w:p>
        </w:tc>
        <w:tc>
          <w:tcPr>
            <w:tcW w:w="20" w:type="dxa"/>
            <w:vAlign w:val="bottom"/>
          </w:tcPr>
          <w:p>
            <w:pPr>
              <w:spacing w:after="0"/>
              <w:rPr>
                <w:sz w:val="19"/>
                <w:szCs w:val="19"/>
                <w:color w:val="auto"/>
              </w:rPr>
            </w:pPr>
          </w:p>
        </w:tc>
      </w:tr>
      <w:tr>
        <w:trPr>
          <w:trHeight w:val="229"/>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(Gain) loss on involuntary conversions</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(7,488)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shd w:val="clear" w:color="auto" w:fill="CCEEFF"/>
          </w:tcPr>
          <w:p>
            <w:pPr>
              <w:spacing w:after="0"/>
              <w:rPr>
                <w:sz w:val="19"/>
                <w:szCs w:val="19"/>
                <w:color w:val="auto"/>
              </w:rPr>
            </w:pPr>
          </w:p>
        </w:tc>
      </w:tr>
      <w:tr>
        <w:trPr>
          <w:trHeight w:val="22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23"/>
        </w:trPr>
        <w:tc>
          <w:tcPr>
            <w:tcW w:w="2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123,869</w:t>
            </w:r>
          </w:p>
        </w:tc>
        <w:tc>
          <w:tcPr>
            <w:tcW w:w="40" w:type="dxa"/>
            <w:vAlign w:val="bottom"/>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278,061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373,053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465,018</w:t>
            </w:r>
          </w:p>
        </w:tc>
        <w:tc>
          <w:tcPr>
            <w:tcW w:w="20" w:type="dxa"/>
            <w:vAlign w:val="bottom"/>
            <w:shd w:val="clear" w:color="auto" w:fill="CCEEFF"/>
          </w:tcPr>
          <w:p>
            <w:pPr>
              <w:spacing w:after="0"/>
              <w:rPr>
                <w:sz w:val="19"/>
                <w:szCs w:val="19"/>
                <w:color w:val="auto"/>
              </w:rPr>
            </w:pPr>
          </w:p>
        </w:tc>
      </w:tr>
      <w:tr>
        <w:trPr>
          <w:trHeight w:val="22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19,555</w:t>
            </w:r>
          </w:p>
        </w:tc>
        <w:tc>
          <w:tcPr>
            <w:tcW w:w="20" w:type="dxa"/>
            <w:vAlign w:val="bottom"/>
            <w:shd w:val="clear" w:color="auto" w:fill="CCEEFF"/>
          </w:tcPr>
          <w:p>
            <w:pPr>
              <w:spacing w:after="0"/>
              <w:rPr>
                <w:sz w:val="19"/>
                <w:szCs w:val="19"/>
                <w:color w:val="auto"/>
              </w:rPr>
            </w:pPr>
          </w:p>
        </w:tc>
      </w:tr>
      <w:tr>
        <w:trPr>
          <w:trHeight w:val="229"/>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0" w:type="dxa"/>
            <w:vAlign w:val="bottom"/>
          </w:tcPr>
          <w:p>
            <w:pPr>
              <w:spacing w:after="0"/>
              <w:rPr>
                <w:sz w:val="19"/>
                <w:szCs w:val="19"/>
                <w:color w:val="auto"/>
              </w:rPr>
            </w:pPr>
          </w:p>
        </w:tc>
      </w:tr>
      <w:tr>
        <w:trPr>
          <w:trHeight w:val="210"/>
        </w:trPr>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26,291</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2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136,079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288,961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486,914</w:t>
            </w:r>
          </w:p>
        </w:tc>
        <w:tc>
          <w:tcPr>
            <w:tcW w:w="20" w:type="dxa"/>
            <w:vAlign w:val="bottom"/>
          </w:tcPr>
          <w:p>
            <w:pPr>
              <w:spacing w:after="0"/>
              <w:rPr>
                <w:sz w:val="19"/>
                <w:szCs w:val="19"/>
                <w:color w:val="auto"/>
              </w:rPr>
            </w:pPr>
          </w:p>
        </w:tc>
      </w:tr>
      <w:tr>
        <w:trPr>
          <w:trHeight w:val="229"/>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33,152</w:t>
            </w: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118,965</w:t>
            </w:r>
          </w:p>
        </w:tc>
        <w:tc>
          <w:tcPr>
            <w:tcW w:w="20" w:type="dxa"/>
            <w:vAlign w:val="bottom"/>
            <w:shd w:val="clear" w:color="auto" w:fill="CCEEFF"/>
          </w:tcPr>
          <w:p>
            <w:pPr>
              <w:spacing w:after="0"/>
              <w:rPr>
                <w:sz w:val="19"/>
                <w:szCs w:val="19"/>
                <w:color w:val="auto"/>
              </w:rPr>
            </w:pPr>
          </w:p>
        </w:tc>
      </w:tr>
      <w:tr>
        <w:trPr>
          <w:trHeight w:val="22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218,359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367,949</w:t>
            </w:r>
          </w:p>
        </w:tc>
        <w:tc>
          <w:tcPr>
            <w:tcW w:w="20" w:type="dxa"/>
            <w:vAlign w:val="bottom"/>
          </w:tcPr>
          <w:p>
            <w:pPr>
              <w:spacing w:after="0"/>
              <w:rPr>
                <w:sz w:val="19"/>
                <w:szCs w:val="19"/>
                <w:color w:val="auto"/>
              </w:rPr>
            </w:pPr>
          </w:p>
        </w:tc>
      </w:tr>
      <w:tr>
        <w:trPr>
          <w:trHeight w:val="257"/>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(loss) attributable to</w:t>
            </w:r>
          </w:p>
        </w:tc>
        <w:tc>
          <w:tcPr>
            <w:tcW w:w="4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3"/>
        </w:trPr>
        <w:tc>
          <w:tcPr>
            <w:tcW w:w="28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noncontrolling interest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(705)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(1,091)</w:t>
            </w:r>
          </w:p>
        </w:tc>
      </w:tr>
      <w:tr>
        <w:trPr>
          <w:trHeight w:val="23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Cal-Maine Foods,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102,759</w:t>
            </w:r>
          </w:p>
        </w:tc>
        <w:tc>
          <w:tcPr>
            <w:tcW w:w="40" w:type="dxa"/>
            <w:vAlign w:val="bottom"/>
          </w:tcPr>
          <w:p>
            <w:pPr>
              <w:spacing w:after="0"/>
              <w:rPr>
                <w:sz w:val="23"/>
                <w:szCs w:val="23"/>
                <w:color w:val="auto"/>
              </w:rPr>
            </w:pPr>
          </w:p>
        </w:tc>
        <w:tc>
          <w:tcPr>
            <w:tcW w:w="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219,064</w:t>
            </w:r>
          </w:p>
        </w:tc>
        <w:tc>
          <w:tcPr>
            <w:tcW w:w="20" w:type="dxa"/>
            <w:vAlign w:val="bottom"/>
          </w:tcPr>
          <w:p>
            <w:pPr>
              <w:spacing w:after="0"/>
              <w:rPr>
                <w:sz w:val="23"/>
                <w:szCs w:val="23"/>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302,099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369,040</w:t>
            </w:r>
          </w:p>
        </w:tc>
        <w:tc>
          <w:tcPr>
            <w:tcW w:w="20" w:type="dxa"/>
            <w:vAlign w:val="bottom"/>
          </w:tcPr>
          <w:p>
            <w:pPr>
              <w:spacing w:after="0"/>
              <w:rPr>
                <w:sz w:val="23"/>
                <w:szCs w:val="23"/>
                <w:color w:val="auto"/>
              </w:rPr>
            </w:pPr>
          </w:p>
        </w:tc>
      </w:tr>
      <w:tr>
        <w:trPr>
          <w:trHeight w:val="223"/>
        </w:trPr>
        <w:tc>
          <w:tcPr>
            <w:tcW w:w="12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shd w:val="clear" w:color="auto" w:fill="CCEEFF"/>
          </w:tcPr>
          <w:p>
            <w:pPr>
              <w:spacing w:after="0"/>
              <w:rPr>
                <w:sz w:val="21"/>
                <w:szCs w:val="21"/>
                <w:color w:val="auto"/>
              </w:rPr>
            </w:pPr>
          </w:p>
        </w:tc>
      </w:tr>
      <w:tr>
        <w:trPr>
          <w:trHeight w:val="20"/>
        </w:trPr>
        <w:tc>
          <w:tcPr>
            <w:tcW w:w="2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7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Pr>
          <w:p>
            <w:pPr>
              <w:spacing w:after="0"/>
              <w:rPr>
                <w:sz w:val="24"/>
                <w:szCs w:val="24"/>
                <w:color w:val="auto"/>
              </w:rPr>
            </w:pPr>
          </w:p>
        </w:tc>
        <w:tc>
          <w:tcPr>
            <w:tcW w:w="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24"/>
                <w:szCs w:val="24"/>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24"/>
                <w:szCs w:val="24"/>
                <w:color w:val="auto"/>
              </w:rPr>
            </w:pPr>
          </w:p>
        </w:tc>
      </w:tr>
      <w:tr>
        <w:trPr>
          <w:trHeight w:val="223"/>
        </w:trPr>
        <w:tc>
          <w:tcPr>
            <w:tcW w:w="2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83"/>
        </w:trPr>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48,019</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48,150</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48,762</w:t>
            </w:r>
          </w:p>
        </w:tc>
        <w:tc>
          <w:tcPr>
            <w:tcW w:w="20" w:type="dxa"/>
            <w:vAlign w:val="bottom"/>
            <w:tcBorders>
              <w:bottom w:val="single" w:sz="8" w:color="auto"/>
            </w:tcBorders>
          </w:tcPr>
          <w:p>
            <w:pPr>
              <w:spacing w:after="0"/>
              <w:rPr>
                <w:sz w:val="24"/>
                <w:szCs w:val="24"/>
                <w:color w:val="auto"/>
              </w:rPr>
            </w:pPr>
          </w:p>
        </w:tc>
      </w:tr>
      <w:tr>
        <w:trPr>
          <w:trHeight w:val="237"/>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48,970</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48,295</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60"/>
          </w:cols>
          <w:pgMar w:left="1320" w:top="2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260"/>
          </w:cols>
          <w:pgMar w:left="1320" w:top="297" w:right="13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85"/>
        </w:trPr>
        <w:tc>
          <w:tcPr>
            <w:tcW w:w="6300" w:type="dxa"/>
            <w:vAlign w:val="bottom"/>
            <w:gridSpan w:val="11"/>
          </w:tcPr>
          <w:p>
            <w:pPr>
              <w:jc w:val="center"/>
              <w:ind w:left="2889"/>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7800" w:type="dxa"/>
            <w:vAlign w:val="bottom"/>
            <w:gridSpan w:val="15"/>
          </w:tcPr>
          <w:p>
            <w:pPr>
              <w:jc w:val="center"/>
              <w:ind w:left="138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ofComprehensive Income</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3"/>
        </w:trPr>
        <w:tc>
          <w:tcPr>
            <w:tcW w:w="3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Thirteen Weeks Ended</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449"/>
              <w:spacing w:after="0"/>
              <w:rPr>
                <w:sz w:val="20"/>
                <w:szCs w:val="20"/>
                <w:color w:val="auto"/>
              </w:rPr>
            </w:pPr>
            <w:r>
              <w:rPr>
                <w:rFonts w:ascii="Times New Roman" w:cs="Times New Roman" w:eastAsia="Times New Roman" w:hAnsi="Times New Roman"/>
                <w:sz w:val="18"/>
                <w:szCs w:val="18"/>
                <w:color w:val="auto"/>
              </w:rPr>
              <w:t>Twenty-six Weeks Ended</w:t>
            </w:r>
          </w:p>
        </w:tc>
        <w:tc>
          <w:tcPr>
            <w:tcW w:w="20" w:type="dxa"/>
            <w:vAlign w:val="bottom"/>
          </w:tcPr>
          <w:p>
            <w:pPr>
              <w:spacing w:after="0"/>
              <w:rPr>
                <w:sz w:val="24"/>
                <w:szCs w:val="24"/>
                <w:color w:val="auto"/>
              </w:rPr>
            </w:pPr>
          </w:p>
        </w:tc>
      </w:tr>
      <w:tr>
        <w:trPr>
          <w:trHeight w:val="263"/>
        </w:trPr>
        <w:tc>
          <w:tcPr>
            <w:tcW w:w="3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November 29, 2025 November 30, 2024 November 29, 2025 November 30, 2024</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218,359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302,034</w:t>
            </w:r>
          </w:p>
        </w:tc>
        <w:tc>
          <w:tcPr>
            <w:tcW w:w="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367,949</w:t>
            </w:r>
          </w:p>
        </w:tc>
        <w:tc>
          <w:tcPr>
            <w:tcW w:w="20" w:type="dxa"/>
            <w:vAlign w:val="bottom"/>
            <w:shd w:val="clear" w:color="auto" w:fill="CCEEFF"/>
          </w:tcPr>
          <w:p>
            <w:pPr>
              <w:spacing w:after="0"/>
              <w:rPr>
                <w:sz w:val="18"/>
                <w:szCs w:val="18"/>
                <w:color w:val="auto"/>
              </w:rPr>
            </w:pPr>
          </w:p>
        </w:tc>
      </w:tr>
      <w:tr>
        <w:trPr>
          <w:trHeight w:val="28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holding gain (loss) on available-</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2"/>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for-sale securities, net of reclassification</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shd w:val="clear" w:color="auto" w:fill="CCEEFF"/>
          </w:tcPr>
          <w:p>
            <w:pPr>
              <w:spacing w:after="0"/>
              <w:rPr>
                <w:sz w:val="18"/>
                <w:szCs w:val="18"/>
                <w:color w:val="auto"/>
              </w:rPr>
            </w:pPr>
          </w:p>
        </w:tc>
      </w:tr>
      <w:tr>
        <w:trPr>
          <w:trHeight w:val="237"/>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 related to</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items of other comprehensive income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shd w:val="clear" w:color="auto" w:fill="CCEEFF"/>
              </w:rPr>
              <w:t>Other comprehensive income (loss), net of tax</w:t>
            </w: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shd w:val="clear" w:color="auto" w:fill="CCEEFF"/>
          </w:tcPr>
          <w:p>
            <w:pPr>
              <w:spacing w:after="0"/>
              <w:rPr>
                <w:sz w:val="24"/>
                <w:szCs w:val="24"/>
                <w:color w:val="auto"/>
              </w:rPr>
            </w:pP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103,299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217,925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304,367</w:t>
            </w:r>
          </w:p>
        </w:tc>
        <w:tc>
          <w:tcPr>
            <w:tcW w:w="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368,814</w:t>
            </w:r>
          </w:p>
        </w:tc>
        <w:tc>
          <w:tcPr>
            <w:tcW w:w="20" w:type="dxa"/>
            <w:vAlign w:val="bottom"/>
          </w:tcPr>
          <w:p>
            <w:pPr>
              <w:spacing w:after="0"/>
              <w:rPr>
                <w:sz w:val="19"/>
                <w:szCs w:val="19"/>
                <w:color w:val="auto"/>
              </w:rPr>
            </w:pPr>
          </w:p>
        </w:tc>
      </w:tr>
      <w:tr>
        <w:trPr>
          <w:trHeight w:val="25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attributable to the noncontrolling interest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(705)</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(1,091)</w:t>
            </w: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Cal-</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Maine Foods, Inc.</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103,131</w:t>
            </w:r>
          </w:p>
        </w:tc>
        <w:tc>
          <w:tcPr>
            <w:tcW w:w="20" w:type="dxa"/>
            <w:vAlign w:val="bottom"/>
          </w:tcPr>
          <w:p>
            <w:pPr>
              <w:spacing w:after="0"/>
              <w:rPr>
                <w:sz w:val="20"/>
                <w:szCs w:val="20"/>
                <w:color w:val="auto"/>
              </w:rPr>
            </w:pPr>
          </w:p>
        </w:tc>
        <w:tc>
          <w:tcPr>
            <w:tcW w:w="8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218,630</w:t>
            </w:r>
          </w:p>
        </w:tc>
        <w:tc>
          <w:tcPr>
            <w:tcW w:w="20" w:type="dxa"/>
            <w:vAlign w:val="bottom"/>
          </w:tcPr>
          <w:p>
            <w:pPr>
              <w:spacing w:after="0"/>
              <w:rPr>
                <w:sz w:val="20"/>
                <w:szCs w:val="20"/>
                <w:color w:val="auto"/>
              </w:rPr>
            </w:pPr>
          </w:p>
        </w:tc>
        <w:tc>
          <w:tcPr>
            <w:tcW w:w="3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304,432</w:t>
            </w:r>
          </w:p>
        </w:tc>
        <w:tc>
          <w:tcPr>
            <w:tcW w:w="40" w:type="dxa"/>
            <w:vAlign w:val="bottom"/>
          </w:tcPr>
          <w:p>
            <w:pPr>
              <w:spacing w:after="0"/>
              <w:rPr>
                <w:sz w:val="20"/>
                <w:szCs w:val="20"/>
                <w:color w:val="auto"/>
              </w:rPr>
            </w:pPr>
          </w:p>
        </w:tc>
        <w:tc>
          <w:tcPr>
            <w:tcW w:w="460" w:type="dxa"/>
            <w:vAlign w:val="bottom"/>
          </w:tcPr>
          <w:p>
            <w:pPr>
              <w:jc w:val="right"/>
              <w:ind w:right="26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369,905</w:t>
            </w:r>
          </w:p>
        </w:tc>
        <w:tc>
          <w:tcPr>
            <w:tcW w:w="20" w:type="dxa"/>
            <w:vAlign w:val="bottom"/>
          </w:tcPr>
          <w:p>
            <w:pPr>
              <w:spacing w:after="0"/>
              <w:rPr>
                <w:sz w:val="20"/>
                <w:szCs w:val="20"/>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60"/>
          </w:cols>
          <w:pgMar w:left="1320" w:top="2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260"/>
          </w:cols>
          <w:pgMar w:left="1320" w:top="297" w:right="13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85"/>
        </w:trPr>
        <w:tc>
          <w:tcPr>
            <w:tcW w:w="6620" w:type="dxa"/>
            <w:vAlign w:val="bottom"/>
            <w:gridSpan w:val="4"/>
          </w:tcPr>
          <w:p>
            <w:pPr>
              <w:jc w:val="center"/>
              <w:ind w:left="2569"/>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620" w:type="dxa"/>
            <w:vAlign w:val="bottom"/>
            <w:gridSpan w:val="4"/>
          </w:tcPr>
          <w:p>
            <w:pPr>
              <w:jc w:val="center"/>
              <w:ind w:left="254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gridSpan w:val="3"/>
          </w:tcPr>
          <w:p>
            <w:pPr>
              <w:jc w:val="center"/>
              <w:ind w:left="3329"/>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5860" w:type="dxa"/>
            <w:vAlign w:val="bottom"/>
            <w:gridSpan w:val="3"/>
          </w:tcPr>
          <w:p>
            <w:pPr>
              <w:jc w:val="center"/>
              <w:ind w:left="3329"/>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3"/>
        </w:trPr>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689"/>
              <w:spacing w:after="0"/>
              <w:rPr>
                <w:sz w:val="20"/>
                <w:szCs w:val="20"/>
                <w:color w:val="auto"/>
              </w:rPr>
            </w:pPr>
            <w:r>
              <w:rPr>
                <w:rFonts w:ascii="Times New Roman" w:cs="Times New Roman" w:eastAsia="Times New Roman" w:hAnsi="Times New Roman"/>
                <w:sz w:val="18"/>
                <w:szCs w:val="18"/>
                <w:color w:val="auto"/>
                <w:w w:val="97"/>
              </w:rPr>
              <w:t>Twenty-six Weeks Ended</w:t>
            </w:r>
          </w:p>
        </w:tc>
        <w:tc>
          <w:tcPr>
            <w:tcW w:w="20" w:type="dxa"/>
            <w:vAlign w:val="bottom"/>
          </w:tcPr>
          <w:p>
            <w:pPr>
              <w:spacing w:after="0"/>
              <w:rPr>
                <w:sz w:val="24"/>
                <w:szCs w:val="24"/>
                <w:color w:val="auto"/>
              </w:rPr>
            </w:pPr>
          </w:p>
        </w:tc>
      </w:tr>
      <w:tr>
        <w:trPr>
          <w:trHeight w:val="223"/>
        </w:trPr>
        <w:tc>
          <w:tcPr>
            <w:tcW w:w="4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4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November 29, 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November 30, 2024</w:t>
            </w:r>
          </w:p>
        </w:tc>
      </w:tr>
      <w:tr>
        <w:trPr>
          <w:trHeight w:val="223"/>
        </w:trPr>
        <w:tc>
          <w:tcPr>
            <w:tcW w:w="5860" w:type="dxa"/>
            <w:vAlign w:val="bottom"/>
            <w:tcBorders>
              <w:top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auto"/>
              </w:rPr>
              <w:t>302,034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367,949</w:t>
            </w:r>
          </w:p>
        </w:tc>
        <w:tc>
          <w:tcPr>
            <w:tcW w:w="20" w:type="dxa"/>
            <w:vAlign w:val="bottom"/>
          </w:tcPr>
          <w:p>
            <w:pPr>
              <w:spacing w:after="0"/>
              <w:rPr>
                <w:sz w:val="18"/>
                <w:szCs w:val="18"/>
                <w:color w:val="auto"/>
              </w:rPr>
            </w:pPr>
          </w:p>
        </w:tc>
      </w:tr>
      <w:tr>
        <w:trPr>
          <w:trHeight w:val="243"/>
        </w:trPr>
        <w:tc>
          <w:tcPr>
            <w:tcW w:w="586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59,769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45,818</w:t>
            </w:r>
          </w:p>
        </w:tc>
        <w:tc>
          <w:tcPr>
            <w:tcW w:w="20" w:type="dxa"/>
            <w:vAlign w:val="bottom"/>
            <w:shd w:val="clear" w:color="auto" w:fill="CCEEFF"/>
          </w:tcPr>
          <w:p>
            <w:pPr>
              <w:spacing w:after="0"/>
              <w:rPr>
                <w:sz w:val="21"/>
                <w:szCs w:val="21"/>
                <w:color w:val="auto"/>
              </w:rPr>
            </w:pPr>
          </w:p>
        </w:tc>
      </w:tr>
      <w:tr>
        <w:trPr>
          <w:trHeight w:val="229"/>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760" w:type="dxa"/>
            <w:vAlign w:val="bottom"/>
          </w:tcPr>
          <w:p>
            <w:pPr>
              <w:spacing w:after="0"/>
              <w:rPr>
                <w:sz w:val="19"/>
                <w:szCs w:val="19"/>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auto"/>
              </w:rPr>
              <w:t>14,484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(13,825)</w:t>
            </w:r>
          </w:p>
        </w:tc>
      </w:tr>
      <w:tr>
        <w:trPr>
          <w:trHeight w:val="216"/>
        </w:trPr>
        <w:tc>
          <w:tcPr>
            <w:tcW w:w="586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 net</w:t>
            </w:r>
          </w:p>
        </w:tc>
        <w:tc>
          <w:tcPr>
            <w:tcW w:w="7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(2,930)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(159,791)</w:t>
            </w:r>
          </w:p>
        </w:tc>
      </w:tr>
      <w:tr>
        <w:trPr>
          <w:trHeight w:val="236"/>
        </w:trPr>
        <w:tc>
          <w:tcPr>
            <w:tcW w:w="58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7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8"/>
                <w:szCs w:val="18"/>
                <w:color w:val="auto"/>
              </w:rPr>
              <w:t>373,357</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240,151</w:t>
            </w:r>
          </w:p>
        </w:tc>
        <w:tc>
          <w:tcPr>
            <w:tcW w:w="20" w:type="dxa"/>
            <w:vAlign w:val="bottom"/>
            <w:tcBorders>
              <w:top w:val="single" w:sz="8" w:color="CCEEFF"/>
            </w:tcBorders>
          </w:tcPr>
          <w:p>
            <w:pPr>
              <w:spacing w:after="0"/>
              <w:rPr>
                <w:sz w:val="20"/>
                <w:szCs w:val="20"/>
                <w:color w:val="auto"/>
              </w:rPr>
            </w:pPr>
          </w:p>
        </w:tc>
      </w:tr>
      <w:tr>
        <w:trPr>
          <w:trHeight w:val="216"/>
        </w:trPr>
        <w:tc>
          <w:tcPr>
            <w:tcW w:w="4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6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7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(345,372)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(501,567)</w:t>
            </w:r>
          </w:p>
        </w:tc>
      </w:tr>
      <w:tr>
        <w:trPr>
          <w:trHeight w:val="230"/>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760" w:type="dxa"/>
            <w:vAlign w:val="bottom"/>
          </w:tcPr>
          <w:p>
            <w:pPr>
              <w:spacing w:after="0"/>
              <w:rPr>
                <w:sz w:val="19"/>
                <w:szCs w:val="19"/>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auto"/>
              </w:rPr>
              <w:t>490,397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426,500</w:t>
            </w:r>
          </w:p>
        </w:tc>
        <w:tc>
          <w:tcPr>
            <w:tcW w:w="20" w:type="dxa"/>
            <w:vAlign w:val="bottom"/>
          </w:tcPr>
          <w:p>
            <w:pPr>
              <w:spacing w:after="0"/>
              <w:rPr>
                <w:sz w:val="19"/>
                <w:szCs w:val="19"/>
                <w:color w:val="auto"/>
              </w:rPr>
            </w:pPr>
          </w:p>
        </w:tc>
      </w:tr>
      <w:tr>
        <w:trPr>
          <w:trHeight w:val="243"/>
        </w:trPr>
        <w:tc>
          <w:tcPr>
            <w:tcW w:w="586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Distributions from unconsolidated entities</w:t>
            </w:r>
          </w:p>
        </w:tc>
        <w:tc>
          <w:tcPr>
            <w:tcW w:w="7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shd w:val="clear" w:color="auto" w:fill="CCEEFF"/>
          </w:tcPr>
          <w:p>
            <w:pPr>
              <w:spacing w:after="0"/>
              <w:rPr>
                <w:sz w:val="21"/>
                <w:szCs w:val="2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760" w:type="dxa"/>
            <w:vAlign w:val="bottom"/>
          </w:tcPr>
          <w:p>
            <w:pPr>
              <w:spacing w:after="0"/>
              <w:rPr>
                <w:sz w:val="18"/>
                <w:szCs w:val="18"/>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(299,010)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(111,521)</w:t>
            </w:r>
          </w:p>
        </w:tc>
        <w:tc>
          <w:tcPr>
            <w:tcW w:w="20" w:type="dxa"/>
            <w:vAlign w:val="bottom"/>
          </w:tcPr>
          <w:p>
            <w:pPr>
              <w:spacing w:after="0"/>
              <w:rPr>
                <w:sz w:val="18"/>
                <w:szCs w:val="18"/>
                <w:color w:val="auto"/>
              </w:rPr>
            </w:pPr>
          </w:p>
        </w:tc>
      </w:tr>
      <w:tr>
        <w:trPr>
          <w:trHeight w:val="230"/>
        </w:trPr>
        <w:tc>
          <w:tcPr>
            <w:tcW w:w="586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7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(92,134)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(65,588)</w:t>
            </w:r>
          </w:p>
        </w:tc>
      </w:tr>
      <w:tr>
        <w:trPr>
          <w:trHeight w:val="237"/>
        </w:trPr>
        <w:tc>
          <w:tcPr>
            <w:tcW w:w="58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Net proceeds from disposal of property, plant and equipment</w:t>
            </w:r>
          </w:p>
        </w:tc>
        <w:tc>
          <w:tcPr>
            <w:tcW w:w="7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0" w:type="dxa"/>
            <w:vAlign w:val="bottom"/>
          </w:tcPr>
          <w:p>
            <w:pPr>
              <w:spacing w:after="0"/>
              <w:rPr>
                <w:sz w:val="20"/>
                <w:szCs w:val="20"/>
                <w:color w:val="auto"/>
              </w:rPr>
            </w:pPr>
          </w:p>
        </w:tc>
      </w:tr>
      <w:tr>
        <w:trPr>
          <w:trHeight w:val="216"/>
        </w:trPr>
        <w:tc>
          <w:tcPr>
            <w:tcW w:w="5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(245,986)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(247,422)</w:t>
            </w:r>
          </w:p>
        </w:tc>
      </w:tr>
      <w:tr>
        <w:trPr>
          <w:trHeight w:val="229"/>
        </w:trPr>
        <w:tc>
          <w:tcPr>
            <w:tcW w:w="4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Payments of dividends</w:t>
            </w:r>
          </w:p>
        </w:tc>
        <w:tc>
          <w:tcPr>
            <w:tcW w:w="760" w:type="dxa"/>
            <w:vAlign w:val="bottom"/>
          </w:tcPr>
          <w:p>
            <w:pPr>
              <w:spacing w:after="0"/>
              <w:rPr>
                <w:sz w:val="19"/>
                <w:szCs w:val="19"/>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(180,540)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(87,774)</w:t>
            </w:r>
          </w:p>
        </w:tc>
      </w:tr>
      <w:tr>
        <w:trPr>
          <w:trHeight w:val="229"/>
        </w:trPr>
        <w:tc>
          <w:tcPr>
            <w:tcW w:w="586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 by treasury</w:t>
            </w:r>
          </w:p>
        </w:tc>
        <w:tc>
          <w:tcPr>
            <w:tcW w:w="7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(74,860)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760" w:type="dxa"/>
            <w:vAlign w:val="bottom"/>
          </w:tcPr>
          <w:p>
            <w:pPr>
              <w:spacing w:after="0"/>
              <w:rPr>
                <w:sz w:val="19"/>
                <w:szCs w:val="19"/>
                <w:color w:val="auto"/>
              </w:rPr>
            </w:pPr>
          </w:p>
        </w:tc>
        <w:tc>
          <w:tcPr>
            <w:tcW w:w="98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(2,477)</w:t>
            </w:r>
          </w:p>
        </w:tc>
      </w:tr>
      <w:tr>
        <w:trPr>
          <w:trHeight w:val="20"/>
        </w:trPr>
        <w:tc>
          <w:tcPr>
            <w:tcW w:w="4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(255,400)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(90,311)</w:t>
            </w:r>
          </w:p>
        </w:tc>
      </w:tr>
      <w:tr>
        <w:trPr>
          <w:trHeight w:val="210"/>
        </w:trPr>
        <w:tc>
          <w:tcPr>
            <w:tcW w:w="4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5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7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(128,029)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(97,582)</w:t>
            </w:r>
          </w:p>
        </w:tc>
      </w:tr>
      <w:tr>
        <w:trPr>
          <w:trHeight w:val="216"/>
        </w:trPr>
        <w:tc>
          <w:tcPr>
            <w:tcW w:w="4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86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7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499,392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237,878</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23"/>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7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auto"/>
              </w:rPr>
              <w:t>371,363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140,296</w:t>
            </w:r>
          </w:p>
        </w:tc>
        <w:tc>
          <w:tcPr>
            <w:tcW w:w="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60"/>
          </w:cols>
          <w:pgMar w:left="1320" w:top="2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260"/>
          </w:cols>
          <w:pgMar w:left="1320" w:top="297" w:right="131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Cal-Maine Foods, Inc. and its subsidiaries (“Cal-Maine Foods,” the “Company,” “we,” “us,” “our”) have been prepared in accordance with the instructions to Form 10-Q and Article 10 of Regulation S-X and in accordance with generally accepted accounting principles in the United States of America (“GAAP”) for interim financial reporting and should be read in conjunction with our Annual Report on Form 10-K for the fiscal year ended May 31, 2025 (the “2025 Annual Report”). These statements reflect all adjustments that are, in the opinion of management, necessary to a fair statement of the results for the interim periods presented and, in the opinion of management, consist of adjustments of a normal recurring nature. Operating results for the interim periods are not necessarily indicative of operating results for the entire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Company’s fiscal year ends on the Saturday closest to May 31. Each of the three-month and year-to-date periods ended on November 29, 2025 and November 30, 2024 included 13 and 26 weeks,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amounts reported in the condensed consolidated financial statements and accompanying notes.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Dividends are accrued at the end of each quarter according to the Company’s dividend policy adopted by its Board of Directors (“Board”). The Company pays a dividend to holders of its Common Stock (and, prior to its conversion to Common Stock on April 14, 2025, Class A Common Stock) on a quarterly basis for each quarter for which the Company reports net income attributable to Cal-Maine Foods, Inc., computed in accordance with GAAP, in an amount equal to one-third (1/3) of such quarterly net income. Dividends are paid to stockholders of record as of the 60th day following the last day of such quarter, except for the fourth fiscal quarter. For the fourth quarter, the Company pays dividends to stockholders of record on the 65th day after the quarter end. Dividends are payable on the 15th day following the record date. Following a quarter for which the Company does not report net income attributable to Cal-Maine Foods, Inc., the Company will not pay a dividend for a subsequent profitable quarter until the Company is profitable on a cumulative basis computed from the date of the most recent quarter for which a dividend was paid. The dividend policy is subject to periodic review by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revenue through the sale of its products to customers through retail, foodservice and other distribution channels. The majority of the Company’s revenue is derived from agreements or contracts with customers based upon the customer ordering its products with a single performance obligation of delivering the product. The Company believes the performance obligation is met upon delivery and acceptance of the product by its customers, which generally occurs upon shipment or delivery to a customer based on the terms of the sale. Costs paid to third party brokers to obtain agreements are expensed as the Company’s agreements are generally less than one year.</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are recognized in an amount that reflects the net consideration we expect to receive in exchange for delivery of the products. The Company periodically offers sales incentives or other programs such as rebates, discounts, coupons, volume-based incentives, guaranteed sales and other programs. The Company records an estimated allowance for costs associated with these programs, which is recorded as a reduction in revenue at the time of sale using historical trends and projected redemption rates of each program. The Company regularly reviews these estimates and any difference between the estimated costs and actual realization of these programs would be recognized in the subsequent period.</w:t>
      </w: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260"/>
          </w:cols>
          <w:pgMar w:left="1320" w:top="309" w:right="131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applies the acquisition method of accounting, which requires that once control is obtained, all the assets acquired and liabilities assumed, including amounts attributable to noncontrolling interests, are recorded at their respective fair values at the date of acquisition. The excess of the purchase price over fair values of identifiable assets and liabilities is recorded as goodwill.</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various models and methods to determine the fair values of identifiable assets and liabilities, such as top-down and bottom-up approach for inventory, cost method and market approach for property, and relief-from-royalty and multi-period excess earnings to value intangibles. Significant estimates in valuing certain intangible assets include, but are not limited to, the amount and timing of future cash flows, growth rates, discount rates and useful lives.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and Policies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 issued Accounting Standards Update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requires that an entity, on an annual basis, disclose additional income tax information, primarily related to the rate reconciliation and income taxes paid. The ASU is intended to enhance the transparency and decision usefulness of income tax disclosures. ASU 2023-09 is effective for annual periods beginning after December 15, 2024. The Company is currently evaluating the impact of ASU 2023-09 on its consolidated financial statement disclosures.</w:t>
      </w:r>
    </w:p>
    <w:p>
      <w:pPr>
        <w:spacing w:after="0" w:line="1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w:t>
      </w:r>
      <w:r>
        <w:rPr>
          <w:rFonts w:ascii="Times New Roman" w:cs="Times New Roman" w:eastAsia="Times New Roman" w:hAnsi="Times New Roman"/>
          <w:sz w:val="18"/>
          <w:szCs w:val="18"/>
          <w:color w:val="auto"/>
        </w:rPr>
        <w:t>. The objective of ASU 2024-03 is to improve disclosures about a public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primarily through additional disaggregation of income statement expenses. Additionally, in January 2025, the FASB further clarified the effective date of ASU 2024-03 with the issuance of ASU 2025-01. ASU 2024-03 is effective for annual periods beginning after December 15, 2026, and interim periods within annual reporting periods beginning after December 15, 2027. Early adoption is permitted and may be applied either on a prospective or retrospective basis. The Company is currently evaluating the impact of ASU 2024-03 on its consolidated financial statement disclosures.</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There are no other new accounting pronouncements issued or effective during the fiscal year that had or are expected to have a material impact on our consolidated financial statements.</w:t>
      </w: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260"/>
          </w:cols>
          <w:pgMar w:left="1320" w:top="309" w:right="131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Acquisition of Echo Lake Foods, LLC</w:t>
      </w:r>
    </w:p>
    <w:p>
      <w:pPr>
        <w:spacing w:after="0" w:line="227" w:lineRule="exact"/>
        <w:rPr>
          <w:sz w:val="20"/>
          <w:szCs w:val="20"/>
          <w:color w:val="auto"/>
        </w:rPr>
      </w:pPr>
    </w:p>
    <w:p>
      <w:pPr>
        <w:jc w:val="both"/>
        <w:ind w:left="40" w:right="20"/>
        <w:spacing w:after="0" w:line="256" w:lineRule="auto"/>
        <w:rPr>
          <w:sz w:val="20"/>
          <w:szCs w:val="20"/>
          <w:color w:val="auto"/>
        </w:rPr>
      </w:pPr>
      <w:r>
        <w:rPr>
          <w:rFonts w:ascii="Times New Roman" w:cs="Times New Roman" w:eastAsia="Times New Roman" w:hAnsi="Times New Roman"/>
          <w:sz w:val="18"/>
          <w:szCs w:val="18"/>
          <w:color w:val="auto"/>
        </w:rPr>
        <w:t>Effective June 2, 2025, the Company acquired Echo Lake Foods, LLC and certain related companies (collectively “Echo Lake Foods”). Echo Lake Foods is based in Burlington, Wisconsin and produces, packages, markets and distributes prepared foods, including waffles, pancakes, scrambled eggs, frozen cooked omelets, egg patties, toast and diced eggs. The Company accounted for the acquisition as a business combination.</w:t>
      </w:r>
    </w:p>
    <w:p>
      <w:pPr>
        <w:spacing w:after="0" w:line="183" w:lineRule="exact"/>
        <w:rPr>
          <w:sz w:val="20"/>
          <w:szCs w:val="20"/>
          <w:color w:val="auto"/>
        </w:rPr>
      </w:pPr>
    </w:p>
    <w:p>
      <w:pPr>
        <w:jc w:val="both"/>
        <w:ind w:left="40" w:right="20"/>
        <w:spacing w:after="0" w:line="259" w:lineRule="auto"/>
        <w:rPr>
          <w:sz w:val="20"/>
          <w:szCs w:val="20"/>
          <w:color w:val="auto"/>
        </w:rPr>
      </w:pPr>
      <w:r>
        <w:rPr>
          <w:rFonts w:ascii="Times New Roman" w:cs="Times New Roman" w:eastAsia="Times New Roman" w:hAnsi="Times New Roman"/>
          <w:sz w:val="18"/>
          <w:szCs w:val="18"/>
          <w:color w:val="auto"/>
        </w:rPr>
        <w:t>The Company finalized the business combination accounting during the second quarter of fiscal 2026, which resulted in immaterial measurement period adjustments. The following table summarizes the consideration paid for Echo Lake Foods and the value of assets acquired and liabilities assumed recognized at the acquisition date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consideration paid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275,406</w:t>
            </w:r>
          </w:p>
        </w:tc>
      </w:tr>
      <w:tr>
        <w:trPr>
          <w:trHeight w:val="229"/>
        </w:trPr>
        <w:tc>
          <w:tcPr>
            <w:tcW w:w="7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r>
      <w:tr>
        <w:trPr>
          <w:trHeight w:val="229"/>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14,147</w:t>
            </w:r>
          </w:p>
        </w:tc>
      </w:tr>
      <w:tr>
        <w:trPr>
          <w:trHeight w:val="230"/>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31,923</w:t>
            </w:r>
          </w:p>
        </w:tc>
      </w:tr>
      <w:tr>
        <w:trPr>
          <w:trHeight w:val="229"/>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21,601</w:t>
            </w:r>
          </w:p>
        </w:tc>
      </w:tr>
      <w:tr>
        <w:trPr>
          <w:trHeight w:val="230"/>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3,131</w:t>
            </w:r>
          </w:p>
        </w:tc>
      </w:tr>
      <w:tr>
        <w:trPr>
          <w:trHeight w:val="229"/>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20" w:type="dxa"/>
            <w:vAlign w:val="bottom"/>
          </w:tcPr>
          <w:p>
            <w:pPr>
              <w:spacing w:after="0"/>
              <w:rPr>
                <w:sz w:val="19"/>
                <w:szCs w:val="19"/>
                <w:color w:val="auto"/>
              </w:rPr>
            </w:pPr>
          </w:p>
        </w:tc>
        <w:tc>
          <w:tcPr>
            <w:tcW w:w="12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151,697</w:t>
            </w:r>
          </w:p>
        </w:tc>
      </w:tr>
      <w:tr>
        <w:trPr>
          <w:trHeight w:val="229"/>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36,800</w:t>
            </w:r>
          </w:p>
        </w:tc>
      </w:tr>
      <w:tr>
        <w:trPr>
          <w:trHeight w:val="223"/>
        </w:trPr>
        <w:tc>
          <w:tcPr>
            <w:tcW w:w="7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259,414</w:t>
            </w:r>
          </w:p>
        </w:tc>
      </w:tr>
      <w:tr>
        <w:trPr>
          <w:trHeight w:val="230"/>
        </w:trPr>
        <w:tc>
          <w:tcPr>
            <w:tcW w:w="7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(14,114)</w:t>
            </w:r>
          </w:p>
        </w:tc>
      </w:tr>
      <w:tr>
        <w:trPr>
          <w:trHeight w:val="223"/>
        </w:trPr>
        <w:tc>
          <w:tcPr>
            <w:tcW w:w="7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20" w:type="dxa"/>
            <w:vAlign w:val="bottom"/>
          </w:tcPr>
          <w:p>
            <w:pPr>
              <w:spacing w:after="0"/>
              <w:rPr>
                <w:sz w:val="19"/>
                <w:szCs w:val="19"/>
                <w:color w:val="auto"/>
              </w:rPr>
            </w:pPr>
          </w:p>
        </w:tc>
        <w:tc>
          <w:tcPr>
            <w:tcW w:w="12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245,300</w:t>
            </w:r>
          </w:p>
        </w:tc>
      </w:tr>
      <w:tr>
        <w:trPr>
          <w:trHeight w:val="230"/>
        </w:trPr>
        <w:tc>
          <w:tcPr>
            <w:tcW w:w="7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6"/>
        </w:trPr>
        <w:tc>
          <w:tcPr>
            <w:tcW w:w="7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30,106</w:t>
            </w:r>
          </w:p>
        </w:tc>
      </w:tr>
      <w:tr>
        <w:trPr>
          <w:trHeight w:val="223"/>
        </w:trPr>
        <w:tc>
          <w:tcPr>
            <w:tcW w:w="7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6"/>
        </w:trPr>
        <w:tc>
          <w:tcPr>
            <w:tcW w:w="79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275,406</w:t>
            </w:r>
          </w:p>
        </w:tc>
      </w:tr>
      <w:tr>
        <w:trPr>
          <w:trHeight w:val="20"/>
        </w:trPr>
        <w:tc>
          <w:tcPr>
            <w:tcW w:w="7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40" w:right="40"/>
        <w:spacing w:after="0" w:line="268" w:lineRule="auto"/>
        <w:rPr>
          <w:sz w:val="20"/>
          <w:szCs w:val="20"/>
          <w:color w:val="auto"/>
        </w:rPr>
      </w:pPr>
      <w:r>
        <w:rPr>
          <w:rFonts w:ascii="Times New Roman" w:cs="Times New Roman" w:eastAsia="Times New Roman" w:hAnsi="Times New Roman"/>
          <w:sz w:val="18"/>
          <w:szCs w:val="18"/>
          <w:color w:val="auto"/>
        </w:rPr>
        <w:t>Cash and accounts receivable acquired along with liabilities assumed were valued at their carrying value which approximates fair value due to the short maturity of these instruments.</w:t>
      </w:r>
    </w:p>
    <w:p>
      <w:pPr>
        <w:spacing w:after="0" w:line="172" w:lineRule="exact"/>
        <w:rPr>
          <w:sz w:val="20"/>
          <w:szCs w:val="20"/>
          <w:color w:val="auto"/>
        </w:rPr>
      </w:pPr>
    </w:p>
    <w:p>
      <w:pPr>
        <w:jc w:val="both"/>
        <w:ind w:left="40" w:right="20"/>
        <w:spacing w:after="0" w:line="248" w:lineRule="auto"/>
        <w:rPr>
          <w:sz w:val="20"/>
          <w:szCs w:val="20"/>
          <w:color w:val="auto"/>
        </w:rPr>
      </w:pPr>
      <w:r>
        <w:rPr>
          <w:rFonts w:ascii="Times New Roman" w:cs="Times New Roman" w:eastAsia="Times New Roman" w:hAnsi="Times New Roman"/>
          <w:sz w:val="18"/>
          <w:szCs w:val="18"/>
          <w:color w:val="auto"/>
        </w:rPr>
        <w:t>Inventories consisted primarily of raw materials, supplies and finished goods. Raw materials and supplies were valued at their carrying value as management believes that their carrying value best approximates their fair value. Finished goods were valued using both the bottom-up and top-down approach. The bottom-up approach measures the value of inventory as the value created by the target company (i.e., the costs incurred, profit realized, and tangible and intangible assets utilized) pre-acquisition date. The top-down approach measures the value of inventory as the incremental inventory value created by the market participant buyer as part of its selling effort to an end customer (i.e., the costs that will be incurred, the profit that will be realized, and the tangible and intangible assets that will be utilized) post-acquisition date.</w:t>
      </w:r>
    </w:p>
    <w:p>
      <w:pPr>
        <w:spacing w:after="0" w:line="177" w:lineRule="exact"/>
        <w:rPr>
          <w:sz w:val="20"/>
          <w:szCs w:val="20"/>
          <w:color w:val="auto"/>
        </w:rPr>
      </w:pPr>
    </w:p>
    <w:p>
      <w:pPr>
        <w:jc w:val="both"/>
        <w:ind w:left="40"/>
        <w:spacing w:after="0" w:line="256" w:lineRule="auto"/>
        <w:rPr>
          <w:sz w:val="20"/>
          <w:szCs w:val="20"/>
          <w:color w:val="auto"/>
        </w:rPr>
      </w:pPr>
      <w:r>
        <w:rPr>
          <w:rFonts w:ascii="Times New Roman" w:cs="Times New Roman" w:eastAsia="Times New Roman" w:hAnsi="Times New Roman"/>
          <w:sz w:val="18"/>
          <w:szCs w:val="18"/>
          <w:color w:val="auto"/>
        </w:rPr>
        <w:t>Property, plant and equipment were valued utilizing the cost approach and market approach. Machinery and equipment were valued utilizing the cost approach which is based on replacement or reproduction costs of the assets and subtracting any depreciation resulting from physical deterioration and/or functional or economic obsolescence. Land and buildings were valued utilizing the market approach by using a real estate valuation.</w:t>
      </w:r>
    </w:p>
    <w:p>
      <w:pPr>
        <w:spacing w:after="0" w:line="170" w:lineRule="exact"/>
        <w:rPr>
          <w:sz w:val="20"/>
          <w:szCs w:val="20"/>
          <w:color w:val="auto"/>
        </w:rPr>
      </w:pPr>
    </w:p>
    <w:p>
      <w:pPr>
        <w:ind w:left="40" w:right="40"/>
        <w:spacing w:after="0" w:line="283" w:lineRule="auto"/>
        <w:rPr>
          <w:sz w:val="20"/>
          <w:szCs w:val="20"/>
          <w:color w:val="auto"/>
        </w:rPr>
      </w:pPr>
      <w:r>
        <w:rPr>
          <w:rFonts w:ascii="Times New Roman" w:cs="Times New Roman" w:eastAsia="Times New Roman" w:hAnsi="Times New Roman"/>
          <w:sz w:val="18"/>
          <w:szCs w:val="18"/>
          <w:color w:val="auto"/>
        </w:rPr>
        <w:t>Intangible assets consisted primarily of customer relationships and a trade name. Customer relationships were valued using the multi-period excess earnings method and the trade name was valued using the relief-from-royalty method.</w:t>
      </w:r>
    </w:p>
    <w:p>
      <w:pPr>
        <w:spacing w:after="0" w:line="146" w:lineRule="exact"/>
        <w:rPr>
          <w:sz w:val="20"/>
          <w:szCs w:val="20"/>
          <w:color w:val="auto"/>
        </w:rPr>
      </w:pPr>
    </w:p>
    <w:p>
      <w:pPr>
        <w:jc w:val="both"/>
        <w:ind w:left="40" w:right="20"/>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of the acquired business over the acquisition date fair value of the net assets acquired. Goodwill recorded in connection with the Echo Lake Foods acquisition is primarily attributable to projected synergies from integrating the operations of Echo Lake Foods with the operations of the Company. The Company recognized goodwill of $30.1 million as a result of the acquisition, all of which is deductible for tax purposes.</w:t>
      </w:r>
    </w:p>
    <w:p>
      <w:pPr>
        <w:sectPr>
          <w:pgSz w:w="11900" w:h="16838" w:orient="portrait"/>
          <w:cols w:equalWidth="0" w:num="1">
            <w:col w:w="9320"/>
          </w:cols>
          <w:pgMar w:left="1280" w:top="309" w:right="129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320"/>
          </w:cols>
          <w:pgMar w:left="1280" w:top="309" w:right="1299" w:bottom="1440" w:gutter="0" w:footer="0" w:header="0"/>
          <w:type w:val="continuous"/>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left="40"/>
        <w:spacing w:after="0" w:line="259" w:lineRule="auto"/>
        <w:rPr>
          <w:sz w:val="20"/>
          <w:szCs w:val="20"/>
          <w:color w:val="auto"/>
        </w:rPr>
      </w:pPr>
      <w:r>
        <w:rPr>
          <w:rFonts w:ascii="Times New Roman" w:cs="Times New Roman" w:eastAsia="Times New Roman" w:hAnsi="Times New Roman"/>
          <w:sz w:val="18"/>
          <w:szCs w:val="18"/>
          <w:color w:val="auto"/>
        </w:rPr>
        <w:t>The Company recorded transaction costs of $ 594 thousand in the first quarter of fiscal 2026 and $6.6 million in the fourth quarter of fiscal year 2025, respectively, as a result of the Echo Lake Foods acquisition, within selling, general and administrative expenses in the condensed consolidated statements of income.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Acquisition of Clean Egg, LLC</w:t>
      </w:r>
    </w:p>
    <w:p>
      <w:pPr>
        <w:spacing w:after="0" w:line="227" w:lineRule="exact"/>
        <w:rPr>
          <w:sz w:val="20"/>
          <w:szCs w:val="20"/>
          <w:color w:val="auto"/>
        </w:rPr>
      </w:pPr>
    </w:p>
    <w:p>
      <w:pPr>
        <w:jc w:val="both"/>
        <w:ind w:left="40" w:right="20"/>
        <w:spacing w:after="0" w:line="256" w:lineRule="auto"/>
        <w:rPr>
          <w:sz w:val="20"/>
          <w:szCs w:val="20"/>
          <w:color w:val="auto"/>
        </w:rPr>
      </w:pPr>
      <w:r>
        <w:rPr>
          <w:rFonts w:ascii="Times New Roman" w:cs="Times New Roman" w:eastAsia="Times New Roman" w:hAnsi="Times New Roman"/>
          <w:sz w:val="18"/>
          <w:szCs w:val="18"/>
          <w:color w:val="auto"/>
        </w:rPr>
        <w:t>Effective October 10, 2025, the Company acquired certain assets of Clean Egg, LLC (“Clean Egg”) based in Langwood, Texas, for approximately $23.7 million. The assets acquired included 677 thousand brown cage-free and free-range layers and pullets and other inventory, machinery and equipment related to its processing facility and contract production. The Company accounted for the acquisition as a business combination.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3 - Investment Securities Available-for-Sale</w:t>
      </w:r>
    </w:p>
    <w:p>
      <w:pPr>
        <w:spacing w:after="0" w:line="229" w:lineRule="exact"/>
        <w:rPr>
          <w:sz w:val="20"/>
          <w:szCs w:val="20"/>
          <w:color w:val="auto"/>
        </w:rPr>
      </w:pPr>
    </w:p>
    <w:p>
      <w:pPr>
        <w:jc w:val="both"/>
        <w:ind w:left="40"/>
        <w:spacing w:after="0" w:line="283" w:lineRule="auto"/>
        <w:rPr>
          <w:sz w:val="20"/>
          <w:szCs w:val="20"/>
          <w:color w:val="auto"/>
        </w:rPr>
      </w:pPr>
      <w:r>
        <w:rPr>
          <w:rFonts w:ascii="Times New Roman" w:cs="Times New Roman" w:eastAsia="Times New Roman" w:hAnsi="Times New Roman"/>
          <w:sz w:val="18"/>
          <w:szCs w:val="18"/>
          <w:color w:val="auto"/>
        </w:rPr>
        <w:t>The following represents the Company’s investment securities available-for-sale as of November 29, 2025 and May 31, 2025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15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13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130" w:type="dxa"/>
            <w:vAlign w:val="bottom"/>
          </w:tcPr>
          <w:p>
            <w:pPr>
              <w:jc w:val="center"/>
              <w:ind w:right="39"/>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Estimated</w:t>
            </w:r>
          </w:p>
        </w:tc>
      </w:tr>
      <w:tr>
        <w:trPr>
          <w:trHeight w:val="236"/>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29, 2025</w:t>
            </w: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115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113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113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3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19,861</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7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7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19,918</w:t>
            </w:r>
          </w:p>
        </w:tc>
      </w:tr>
      <w:tr>
        <w:trPr>
          <w:trHeight w:val="216"/>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1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1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w:t>
            </w:r>
          </w:p>
        </w:tc>
      </w:tr>
      <w:tr>
        <w:trPr>
          <w:trHeight w:val="243"/>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150" w:type="dxa"/>
            <w:vAlign w:val="bottom"/>
            <w:shd w:val="clear" w:color="auto" w:fill="CCEEFF"/>
          </w:tcPr>
          <w:p>
            <w:pPr>
              <w:spacing w:after="0"/>
              <w:rPr>
                <w:sz w:val="21"/>
                <w:szCs w:val="21"/>
                <w:color w:val="auto"/>
              </w:rPr>
            </w:pPr>
          </w:p>
        </w:tc>
        <w:tc>
          <w:tcPr>
            <w:tcW w:w="115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534,429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0" w:type="dxa"/>
            <w:vAlign w:val="bottom"/>
            <w:shd w:val="clear" w:color="auto" w:fill="CCEEFF"/>
          </w:tcPr>
          <w:p>
            <w:pPr>
              <w:spacing w:after="0"/>
              <w:rPr>
                <w:sz w:val="21"/>
                <w:szCs w:val="21"/>
                <w:color w:val="auto"/>
              </w:rPr>
            </w:pP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0" w:type="dxa"/>
            <w:vAlign w:val="bottom"/>
            <w:shd w:val="clear" w:color="auto" w:fill="CCEEFF"/>
          </w:tcPr>
          <w:p>
            <w:pPr>
              <w:spacing w:after="0"/>
              <w:rPr>
                <w:sz w:val="21"/>
                <w:szCs w:val="21"/>
                <w:color w:val="auto"/>
              </w:rPr>
            </w:pP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536,976</w:t>
            </w:r>
          </w:p>
        </w:tc>
      </w:tr>
      <w:tr>
        <w:trPr>
          <w:trHeight w:val="216"/>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1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1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r>
      <w:tr>
        <w:trPr>
          <w:trHeight w:val="230"/>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142,433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142,629</w:t>
            </w:r>
          </w:p>
        </w:tc>
      </w:tr>
      <w:tr>
        <w:trPr>
          <w:trHeight w:val="243"/>
        </w:trPr>
        <w:tc>
          <w:tcPr>
            <w:tcW w:w="36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tcBorders>
              <w:bottom w:val="single" w:sz="8" w:color="CCEEFF"/>
            </w:tcBorders>
          </w:tcPr>
          <w:p>
            <w:pPr>
              <w:spacing w:after="0"/>
              <w:rPr>
                <w:sz w:val="21"/>
                <w:szCs w:val="21"/>
                <w:color w:val="auto"/>
              </w:rPr>
            </w:pPr>
          </w:p>
        </w:tc>
        <w:tc>
          <w:tcPr>
            <w:tcW w:w="150" w:type="dxa"/>
            <w:vAlign w:val="bottom"/>
            <w:tcBorders>
              <w:bottom w:val="single" w:sz="8" w:color="auto"/>
            </w:tcBorders>
          </w:tcPr>
          <w:p>
            <w:pPr>
              <w:spacing w:after="0"/>
              <w:rPr>
                <w:sz w:val="21"/>
                <w:szCs w:val="21"/>
                <w:color w:val="auto"/>
              </w:rPr>
            </w:pPr>
          </w:p>
        </w:tc>
        <w:tc>
          <w:tcPr>
            <w:tcW w:w="11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44,404</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70" w:type="dxa"/>
            <w:vAlign w:val="bottom"/>
            <w:tcBorders>
              <w:bottom w:val="single" w:sz="8" w:color="auto"/>
            </w:tcBorders>
          </w:tcPr>
          <w:p>
            <w:pPr>
              <w:spacing w:after="0"/>
              <w:rPr>
                <w:sz w:val="21"/>
                <w:szCs w:val="21"/>
                <w:color w:val="auto"/>
              </w:rPr>
            </w:pPr>
          </w:p>
        </w:tc>
        <w:tc>
          <w:tcPr>
            <w:tcW w:w="11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70" w:type="dxa"/>
            <w:vAlign w:val="bottom"/>
            <w:tcBorders>
              <w:bottom w:val="single" w:sz="8" w:color="auto"/>
            </w:tcBorders>
          </w:tcPr>
          <w:p>
            <w:pPr>
              <w:spacing w:after="0"/>
              <w:rPr>
                <w:sz w:val="21"/>
                <w:szCs w:val="21"/>
                <w:color w:val="auto"/>
              </w:rPr>
            </w:pPr>
          </w:p>
        </w:tc>
        <w:tc>
          <w:tcPr>
            <w:tcW w:w="11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44,440</w:t>
            </w:r>
          </w:p>
        </w:tc>
      </w:tr>
      <w:tr>
        <w:trPr>
          <w:trHeight w:val="210"/>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766,696</w:t>
            </w:r>
          </w:p>
        </w:tc>
        <w:tc>
          <w:tcPr>
            <w:tcW w:w="140" w:type="dxa"/>
            <w:vAlign w:val="bottom"/>
            <w:gridSpan w:val="2"/>
            <w:shd w:val="clear" w:color="auto" w:fill="CCEEFF"/>
          </w:tcPr>
          <w:p>
            <w:pPr>
              <w:spacing w:after="0"/>
              <w:rPr>
                <w:sz w:val="18"/>
                <w:szCs w:val="18"/>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40" w:type="dxa"/>
            <w:vAlign w:val="bottom"/>
            <w:gridSpan w:val="2"/>
            <w:shd w:val="clear" w:color="auto" w:fill="CCEEFF"/>
          </w:tcPr>
          <w:p>
            <w:pPr>
              <w:spacing w:after="0"/>
              <w:rPr>
                <w:sz w:val="18"/>
                <w:szCs w:val="18"/>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769,538</w:t>
            </w: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5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22"/>
        </w:trPr>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5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113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1130" w:type="dxa"/>
            <w:vAlign w:val="bottom"/>
          </w:tcPr>
          <w:p>
            <w:pPr>
              <w:jc w:val="center"/>
              <w:ind w:right="39"/>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Estimated</w:t>
            </w:r>
          </w:p>
        </w:tc>
      </w:tr>
      <w:tr>
        <w:trPr>
          <w:trHeight w:val="222"/>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31, 2025</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13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13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3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21,695</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7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7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21,698</w:t>
            </w:r>
          </w:p>
        </w:tc>
      </w:tr>
      <w:tr>
        <w:trPr>
          <w:trHeight w:val="230"/>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90,830</w:t>
            </w:r>
          </w:p>
        </w:tc>
      </w:tr>
      <w:tr>
        <w:trPr>
          <w:trHeight w:val="216"/>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5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431,378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431,508</w:t>
            </w:r>
          </w:p>
        </w:tc>
      </w:tr>
      <w:tr>
        <w:trPr>
          <w:trHeight w:val="243"/>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1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1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r>
      <w:tr>
        <w:trPr>
          <w:trHeight w:val="230"/>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240,655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240,395</w:t>
            </w:r>
          </w:p>
        </w:tc>
      </w:tr>
      <w:tr>
        <w:trPr>
          <w:trHeight w:val="230"/>
        </w:trPr>
        <w:tc>
          <w:tcPr>
            <w:tcW w:w="36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8"/>
                <w:szCs w:val="18"/>
                <w:color w:val="auto"/>
              </w:rPr>
              <w:t>103,119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1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1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8"/>
                <w:szCs w:val="18"/>
                <w:color w:val="auto"/>
              </w:rPr>
              <w:t>103,083</w:t>
            </w:r>
          </w:p>
        </w:tc>
      </w:tr>
      <w:tr>
        <w:trPr>
          <w:trHeight w:val="236"/>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892,927</w:t>
            </w:r>
          </w:p>
        </w:tc>
        <w:tc>
          <w:tcPr>
            <w:tcW w:w="140" w:type="dxa"/>
            <w:vAlign w:val="bottom"/>
            <w:gridSpan w:val="2"/>
            <w:shd w:val="clear" w:color="auto" w:fill="CCEEFF"/>
          </w:tcPr>
          <w:p>
            <w:pPr>
              <w:spacing w:after="0"/>
              <w:rPr>
                <w:sz w:val="20"/>
                <w:szCs w:val="20"/>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gridSpan w:val="2"/>
            <w:shd w:val="clear" w:color="auto" w:fill="CCEEFF"/>
          </w:tcPr>
          <w:p>
            <w:pPr>
              <w:spacing w:after="0"/>
              <w:rPr>
                <w:sz w:val="20"/>
                <w:szCs w:val="20"/>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892,708</w:t>
            </w: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5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left="40" w:right="20"/>
        <w:spacing w:after="0" w:line="283" w:lineRule="auto"/>
        <w:rPr>
          <w:sz w:val="20"/>
          <w:szCs w:val="20"/>
          <w:color w:val="auto"/>
        </w:rPr>
      </w:pPr>
      <w:r>
        <w:rPr>
          <w:rFonts w:ascii="Times New Roman" w:cs="Times New Roman" w:eastAsia="Times New Roman" w:hAnsi="Times New Roman"/>
          <w:sz w:val="18"/>
          <w:szCs w:val="18"/>
          <w:color w:val="auto"/>
        </w:rPr>
        <w:t>Actual maturities may differ from contractual maturities as some borrowers have the right to call or prepay obligations with or without penalties. Contractual maturities of current investment securities at November 29, 2025 are as follows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Estimated Fair Value</w:t>
            </w:r>
          </w:p>
        </w:tc>
      </w:tr>
      <w:tr>
        <w:trPr>
          <w:trHeight w:val="210"/>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Within one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316,249</w:t>
            </w:r>
          </w:p>
        </w:tc>
      </w:tr>
      <w:tr>
        <w:trPr>
          <w:trHeight w:val="243"/>
        </w:trPr>
        <w:tc>
          <w:tcPr>
            <w:tcW w:w="7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1-5 years</w:t>
            </w:r>
          </w:p>
        </w:tc>
        <w:tc>
          <w:tcPr>
            <w:tcW w:w="1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453,289</w:t>
            </w:r>
          </w:p>
        </w:tc>
      </w:tr>
      <w:tr>
        <w:trPr>
          <w:trHeight w:val="223"/>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769,538</w:t>
            </w: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40" w:right="20"/>
        <w:spacing w:after="0" w:line="250" w:lineRule="auto"/>
        <w:rPr>
          <w:sz w:val="20"/>
          <w:szCs w:val="20"/>
          <w:color w:val="auto"/>
        </w:rPr>
      </w:pPr>
      <w:r>
        <w:rPr>
          <w:rFonts w:ascii="Times New Roman" w:cs="Times New Roman" w:eastAsia="Times New Roman" w:hAnsi="Times New Roman"/>
          <w:sz w:val="18"/>
          <w:szCs w:val="18"/>
          <w:color w:val="auto"/>
        </w:rPr>
        <w:t>The Company is required to categorize both financial and nonfinancial assets and liabilities based on the following fair value hierarchy. The fair value of an asset is the price at which the asset could be sold in an orderly transaction between unrelated, knowledgeable, and willing parties able to engage in the transaction. A liability’s fair value is defined as the amount that would be paid to transfer the liability to a new obligor in a transaction between such parties, not the amount that would be paid to settle the liability with the creditor.</w:t>
      </w:r>
    </w:p>
    <w:p>
      <w:pPr>
        <w:spacing w:after="0" w:line="189" w:lineRule="exact"/>
        <w:rPr>
          <w:sz w:val="20"/>
          <w:szCs w:val="20"/>
          <w:color w:val="auto"/>
        </w:rPr>
      </w:pPr>
    </w:p>
    <w:p>
      <w:pPr>
        <w:ind w:left="700"/>
        <w:spacing w:after="0"/>
        <w:tabs>
          <w:tab w:leader="none" w:pos="1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ectPr>
          <w:pgSz w:w="11900" w:h="16838" w:orient="portrait"/>
          <w:cols w:equalWidth="0" w:num="1">
            <w:col w:w="9300"/>
          </w:cols>
          <w:pgMar w:left="1280" w:top="30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300"/>
          </w:cols>
          <w:pgMar w:left="1280" w:top="309" w:right="1319" w:bottom="144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0" w:lineRule="exact"/>
        <w:rPr>
          <w:sz w:val="20"/>
          <w:szCs w:val="20"/>
          <w:color w:val="auto"/>
        </w:rPr>
      </w:pPr>
    </w:p>
    <w:p>
      <w:pPr>
        <w:ind w:left="1040" w:right="20" w:hanging="332"/>
        <w:spacing w:after="0" w:line="263"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included in Level 1 that are observable for the asset or liability,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including:</w:t>
      </w:r>
    </w:p>
    <w:p>
      <w:pPr>
        <w:ind w:left="1680" w:hanging="324"/>
        <w:spacing w:after="0"/>
        <w:tabs>
          <w:tab w:leader="none" w:pos="1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rFonts w:ascii="Times New Roman" w:cs="Times New Roman" w:eastAsia="Times New Roman" w:hAnsi="Times New Roman"/>
          <w:sz w:val="18"/>
          <w:szCs w:val="18"/>
          <w:color w:val="auto"/>
        </w:rPr>
      </w:pPr>
    </w:p>
    <w:p>
      <w:pPr>
        <w:ind w:left="1680" w:hanging="324"/>
        <w:spacing w:after="0" w:line="235" w:lineRule="auto"/>
        <w:tabs>
          <w:tab w:leader="none" w:pos="1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ind w:left="1680" w:hanging="324"/>
        <w:spacing w:after="0"/>
        <w:tabs>
          <w:tab w:leader="none" w:pos="1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8" w:lineRule="exact"/>
        <w:rPr>
          <w:rFonts w:ascii="Times New Roman" w:cs="Times New Roman" w:eastAsia="Times New Roman" w:hAnsi="Times New Roman"/>
          <w:sz w:val="18"/>
          <w:szCs w:val="18"/>
          <w:color w:val="auto"/>
        </w:rPr>
      </w:pPr>
    </w:p>
    <w:p>
      <w:pPr>
        <w:ind w:left="1680" w:hanging="324"/>
        <w:spacing w:after="0"/>
        <w:tabs>
          <w:tab w:leader="none" w:pos="1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derived principally from or corroborated by other observable market data</w:t>
      </w:r>
    </w:p>
    <w:p>
      <w:pPr>
        <w:spacing w:after="0" w:line="176" w:lineRule="exact"/>
        <w:rPr>
          <w:rFonts w:ascii="Times New Roman" w:cs="Times New Roman" w:eastAsia="Times New Roman" w:hAnsi="Times New Roman"/>
          <w:sz w:val="18"/>
          <w:szCs w:val="18"/>
          <w:color w:val="auto"/>
        </w:rPr>
      </w:pPr>
    </w:p>
    <w:p>
      <w:pPr>
        <w:ind w:left="1040" w:hanging="332"/>
        <w:spacing w:after="0" w:line="27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for the asset or liability that are supported by little or no market activity and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fair value of the assets or liabilities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disclosures of fair value of certain financial assets and liabilities that are recorded at cost are as follows: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 Accounts Receivable, and Accounts Payable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carrying amount approximates fair value due to the short maturity of these instruments.</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Measured at Fair Value on a Recurring Basis</w:t>
      </w:r>
    </w:p>
    <w:p>
      <w:pPr>
        <w:spacing w:after="0" w:line="227" w:lineRule="exact"/>
        <w:rPr>
          <w:sz w:val="20"/>
          <w:szCs w:val="20"/>
          <w:color w:val="auto"/>
        </w:rPr>
      </w:pPr>
    </w:p>
    <w:p>
      <w:pPr>
        <w:jc w:val="both"/>
        <w:ind w:left="40" w:right="20"/>
        <w:spacing w:after="0" w:line="267" w:lineRule="auto"/>
        <w:rPr>
          <w:sz w:val="20"/>
          <w:szCs w:val="20"/>
          <w:color w:val="auto"/>
        </w:rPr>
      </w:pPr>
      <w:r>
        <w:rPr>
          <w:rFonts w:ascii="Times New Roman" w:cs="Times New Roman" w:eastAsia="Times New Roman" w:hAnsi="Times New Roman"/>
          <w:sz w:val="18"/>
          <w:szCs w:val="18"/>
          <w:color w:val="auto"/>
        </w:rPr>
        <w:t>In accordance with the fair value hierarchy described above, the following table shows the fair value of our financial assets and liabilities that are required to be measured at fair value on a recurring basis as of November 29, 2025 and May 31, 2025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November 29, 2025</w:t>
            </w: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130" w:type="dxa"/>
            <w:vAlign w:val="bottom"/>
          </w:tcPr>
          <w:p>
            <w:pPr>
              <w:ind w:left="19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89"/>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89"/>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269"/>
              <w:spacing w:after="0"/>
              <w:rPr>
                <w:sz w:val="20"/>
                <w:szCs w:val="20"/>
                <w:color w:val="auto"/>
              </w:rPr>
            </w:pPr>
            <w:r>
              <w:rPr>
                <w:rFonts w:ascii="Times New Roman" w:cs="Times New Roman" w:eastAsia="Times New Roman" w:hAnsi="Times New Roman"/>
                <w:sz w:val="18"/>
                <w:szCs w:val="18"/>
                <w:color w:val="auto"/>
              </w:rPr>
              <w:t>Balance</w:t>
            </w:r>
          </w:p>
        </w:tc>
      </w:tr>
      <w:tr>
        <w:trPr>
          <w:trHeight w:val="223"/>
        </w:trPr>
        <w:tc>
          <w:tcPr>
            <w:tcW w:w="34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0" w:type="dxa"/>
            <w:vAlign w:val="bottom"/>
            <w:tcBorders>
              <w:top w:val="single" w:sz="8" w:color="auto"/>
            </w:tcBorders>
            <w:shd w:val="clear" w:color="auto" w:fill="CCEEFF"/>
          </w:tcPr>
          <w:p>
            <w:pPr>
              <w:spacing w:after="0"/>
              <w:rPr>
                <w:sz w:val="19"/>
                <w:szCs w:val="19"/>
                <w:color w:val="auto"/>
              </w:rPr>
            </w:pPr>
          </w:p>
        </w:tc>
        <w:tc>
          <w:tcPr>
            <w:tcW w:w="113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3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30" w:type="dxa"/>
            <w:vAlign w:val="bottom"/>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19,918</w:t>
            </w:r>
          </w:p>
        </w:tc>
      </w:tr>
      <w:tr>
        <w:trPr>
          <w:trHeight w:val="229"/>
        </w:trPr>
        <w:tc>
          <w:tcPr>
            <w:tcW w:w="28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130" w:type="dxa"/>
            <w:vAlign w:val="bottom"/>
            <w:shd w:val="clear" w:color="auto" w:fill="CCEEFF"/>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21,323</w:t>
            </w:r>
          </w:p>
        </w:tc>
      </w:tr>
      <w:tr>
        <w:trPr>
          <w:trHeight w:val="230"/>
        </w:trPr>
        <w:tc>
          <w:tcPr>
            <w:tcW w:w="280" w:type="dxa"/>
            <w:vAlign w:val="bottom"/>
          </w:tcPr>
          <w:p>
            <w:pPr>
              <w:spacing w:after="0"/>
              <w:rPr>
                <w:sz w:val="19"/>
                <w:szCs w:val="19"/>
                <w:color w:val="auto"/>
              </w:rPr>
            </w:pPr>
          </w:p>
        </w:tc>
        <w:tc>
          <w:tcPr>
            <w:tcW w:w="3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130" w:type="dxa"/>
            <w:vAlign w:val="bottom"/>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536,976</w:t>
            </w:r>
          </w:p>
        </w:tc>
      </w:tr>
      <w:tr>
        <w:trPr>
          <w:trHeight w:val="230"/>
        </w:trPr>
        <w:tc>
          <w:tcPr>
            <w:tcW w:w="28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130" w:type="dxa"/>
            <w:vAlign w:val="bottom"/>
            <w:shd w:val="clear" w:color="auto" w:fill="CCEEFF"/>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4,252</w:t>
            </w:r>
          </w:p>
        </w:tc>
      </w:tr>
      <w:tr>
        <w:trPr>
          <w:trHeight w:val="230"/>
        </w:trPr>
        <w:tc>
          <w:tcPr>
            <w:tcW w:w="280" w:type="dxa"/>
            <w:vAlign w:val="bottom"/>
          </w:tcPr>
          <w:p>
            <w:pPr>
              <w:spacing w:after="0"/>
              <w:rPr>
                <w:sz w:val="19"/>
                <w:szCs w:val="19"/>
                <w:color w:val="auto"/>
              </w:rPr>
            </w:pPr>
          </w:p>
        </w:tc>
        <w:tc>
          <w:tcPr>
            <w:tcW w:w="3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130" w:type="dxa"/>
            <w:vAlign w:val="bottom"/>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142,629</w:t>
            </w:r>
          </w:p>
        </w:tc>
      </w:tr>
      <w:tr>
        <w:trPr>
          <w:trHeight w:val="229"/>
        </w:trPr>
        <w:tc>
          <w:tcPr>
            <w:tcW w:w="28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Borders>
              <w:bottom w:val="single" w:sz="8" w:color="auto"/>
            </w:tcBorders>
            <w:shd w:val="clear" w:color="auto" w:fill="CCEEFF"/>
          </w:tcPr>
          <w:p>
            <w:pPr>
              <w:spacing w:after="0"/>
              <w:rPr>
                <w:sz w:val="19"/>
                <w:szCs w:val="19"/>
                <w:color w:val="auto"/>
              </w:rPr>
            </w:pPr>
          </w:p>
        </w:tc>
        <w:tc>
          <w:tcPr>
            <w:tcW w:w="1130" w:type="dxa"/>
            <w:vAlign w:val="bottom"/>
            <w:tcBorders>
              <w:bottom w:val="single" w:sz="8" w:color="auto"/>
            </w:tcBorders>
            <w:shd w:val="clear" w:color="auto" w:fill="CCEEFF"/>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44,440</w:t>
            </w:r>
          </w:p>
        </w:tc>
      </w:tr>
      <w:tr>
        <w:trPr>
          <w:trHeight w:val="263"/>
        </w:trPr>
        <w:tc>
          <w:tcPr>
            <w:tcW w:w="3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30" w:type="dxa"/>
            <w:vAlign w:val="bottom"/>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769,538</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769,538</w:t>
            </w:r>
          </w:p>
        </w:tc>
      </w:tr>
      <w:tr>
        <w:trPr>
          <w:trHeight w:val="237"/>
        </w:trPr>
        <w:tc>
          <w:tcPr>
            <w:tcW w:w="280" w:type="dxa"/>
            <w:vAlign w:val="bottom"/>
            <w:tcBorders>
              <w:top w:val="single" w:sz="8" w:color="CCEEFF"/>
            </w:tcBorders>
            <w:shd w:val="clear" w:color="auto" w:fill="CCEEFF"/>
          </w:tcPr>
          <w:p>
            <w:pPr>
              <w:spacing w:after="0"/>
              <w:rPr>
                <w:sz w:val="20"/>
                <w:szCs w:val="20"/>
                <w:color w:val="auto"/>
              </w:rPr>
            </w:pPr>
          </w:p>
        </w:tc>
        <w:tc>
          <w:tcPr>
            <w:tcW w:w="3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70" w:type="dxa"/>
            <w:vAlign w:val="bottom"/>
            <w:tcBorders>
              <w:top w:val="single" w:sz="8" w:color="auto"/>
            </w:tcBorders>
            <w:shd w:val="clear" w:color="auto" w:fill="CCEEFF"/>
          </w:tcPr>
          <w:p>
            <w:pPr>
              <w:spacing w:after="0"/>
              <w:rPr>
                <w:sz w:val="20"/>
                <w:szCs w:val="20"/>
                <w:color w:val="auto"/>
              </w:rPr>
            </w:pPr>
          </w:p>
        </w:tc>
        <w:tc>
          <w:tcPr>
            <w:tcW w:w="113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r>
      <w:tr>
        <w:trPr>
          <w:trHeight w:val="216"/>
        </w:trPr>
        <w:tc>
          <w:tcPr>
            <w:tcW w:w="3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280" w:type="dxa"/>
            <w:vAlign w:val="bottom"/>
            <w:shd w:val="clear" w:color="auto" w:fill="CCEEFF"/>
          </w:tcPr>
          <w:p>
            <w:pPr>
              <w:spacing w:after="0"/>
              <w:rPr>
                <w:sz w:val="21"/>
                <w:szCs w:val="21"/>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17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tcBorders>
              <w:bottom w:val="single" w:sz="8" w:color="auto"/>
            </w:tcBorders>
            <w:shd w:val="clear" w:color="auto" w:fill="CCEEFF"/>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60" w:type="dxa"/>
            <w:vAlign w:val="bottom"/>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23,000</w:t>
            </w:r>
          </w:p>
        </w:tc>
      </w:tr>
      <w:tr>
        <w:trPr>
          <w:trHeight w:val="223"/>
        </w:trPr>
        <w:tc>
          <w:tcPr>
            <w:tcW w:w="3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30" w:type="dxa"/>
            <w:vAlign w:val="bottom"/>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3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May 31, 2025</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70" w:type="dxa"/>
            <w:vAlign w:val="bottom"/>
            <w:tcBorders>
              <w:bottom w:val="single" w:sz="8" w:color="auto"/>
            </w:tcBorders>
          </w:tcPr>
          <w:p>
            <w:pPr>
              <w:spacing w:after="0"/>
              <w:rPr>
                <w:sz w:val="24"/>
                <w:szCs w:val="24"/>
                <w:color w:val="auto"/>
              </w:rPr>
            </w:pPr>
          </w:p>
        </w:tc>
        <w:tc>
          <w:tcPr>
            <w:tcW w:w="1130" w:type="dxa"/>
            <w:vAlign w:val="bottom"/>
            <w:tcBorders>
              <w:bottom w:val="single" w:sz="8" w:color="auto"/>
            </w:tcBorders>
          </w:tcPr>
          <w:p>
            <w:pPr>
              <w:ind w:left="19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8"/>
                <w:szCs w:val="18"/>
                <w:color w:val="auto"/>
              </w:rPr>
              <w:t>Balance</w:t>
            </w:r>
          </w:p>
        </w:tc>
      </w:tr>
      <w:tr>
        <w:trPr>
          <w:trHeight w:val="223"/>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13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3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30" w:type="dxa"/>
            <w:vAlign w:val="bottom"/>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21,698</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21,698</w:t>
            </w:r>
          </w:p>
        </w:tc>
      </w:tr>
      <w:tr>
        <w:trPr>
          <w:trHeight w:val="230"/>
        </w:trPr>
        <w:tc>
          <w:tcPr>
            <w:tcW w:w="28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130" w:type="dxa"/>
            <w:vAlign w:val="bottom"/>
            <w:shd w:val="clear" w:color="auto" w:fill="CCEEFF"/>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90,830</w:t>
            </w:r>
          </w:p>
        </w:tc>
      </w:tr>
      <w:tr>
        <w:trPr>
          <w:trHeight w:val="230"/>
        </w:trPr>
        <w:tc>
          <w:tcPr>
            <w:tcW w:w="280" w:type="dxa"/>
            <w:vAlign w:val="bottom"/>
          </w:tcPr>
          <w:p>
            <w:pPr>
              <w:spacing w:after="0"/>
              <w:rPr>
                <w:sz w:val="19"/>
                <w:szCs w:val="19"/>
                <w:color w:val="auto"/>
              </w:rPr>
            </w:pPr>
          </w:p>
        </w:tc>
        <w:tc>
          <w:tcPr>
            <w:tcW w:w="3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130" w:type="dxa"/>
            <w:vAlign w:val="bottom"/>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431,508</w:t>
            </w:r>
          </w:p>
        </w:tc>
      </w:tr>
      <w:tr>
        <w:trPr>
          <w:trHeight w:val="229"/>
        </w:trPr>
        <w:tc>
          <w:tcPr>
            <w:tcW w:w="28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130" w:type="dxa"/>
            <w:vAlign w:val="bottom"/>
            <w:shd w:val="clear" w:color="auto" w:fill="CCEEFF"/>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5,194</w:t>
            </w:r>
          </w:p>
        </w:tc>
      </w:tr>
      <w:tr>
        <w:trPr>
          <w:trHeight w:val="230"/>
        </w:trPr>
        <w:tc>
          <w:tcPr>
            <w:tcW w:w="280" w:type="dxa"/>
            <w:vAlign w:val="bottom"/>
          </w:tcPr>
          <w:p>
            <w:pPr>
              <w:spacing w:after="0"/>
              <w:rPr>
                <w:sz w:val="19"/>
                <w:szCs w:val="19"/>
                <w:color w:val="auto"/>
              </w:rPr>
            </w:pPr>
          </w:p>
        </w:tc>
        <w:tc>
          <w:tcPr>
            <w:tcW w:w="3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130" w:type="dxa"/>
            <w:vAlign w:val="bottom"/>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240,395</w:t>
            </w:r>
          </w:p>
        </w:tc>
      </w:tr>
      <w:tr>
        <w:trPr>
          <w:trHeight w:val="230"/>
        </w:trPr>
        <w:tc>
          <w:tcPr>
            <w:tcW w:w="28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Borders>
              <w:bottom w:val="single" w:sz="8" w:color="auto"/>
            </w:tcBorders>
            <w:shd w:val="clear" w:color="auto" w:fill="CCEEFF"/>
          </w:tcPr>
          <w:p>
            <w:pPr>
              <w:spacing w:after="0"/>
              <w:rPr>
                <w:sz w:val="19"/>
                <w:szCs w:val="19"/>
                <w:color w:val="auto"/>
              </w:rPr>
            </w:pPr>
          </w:p>
        </w:tc>
        <w:tc>
          <w:tcPr>
            <w:tcW w:w="1130" w:type="dxa"/>
            <w:vAlign w:val="bottom"/>
            <w:tcBorders>
              <w:bottom w:val="single" w:sz="8" w:color="auto"/>
            </w:tcBorders>
            <w:shd w:val="clear" w:color="auto" w:fill="CCEEFF"/>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103,083</w:t>
            </w:r>
          </w:p>
        </w:tc>
      </w:tr>
      <w:tr>
        <w:trPr>
          <w:trHeight w:val="263"/>
        </w:trPr>
        <w:tc>
          <w:tcPr>
            <w:tcW w:w="3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30" w:type="dxa"/>
            <w:vAlign w:val="bottom"/>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892,708</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892,708</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0" w:type="dxa"/>
            <w:vAlign w:val="bottom"/>
            <w:tcBorders>
              <w:top w:val="single" w:sz="8" w:color="auto"/>
            </w:tcBorders>
          </w:tcPr>
          <w:p>
            <w:pPr>
              <w:spacing w:after="0" w:line="20" w:lineRule="exact"/>
              <w:rPr>
                <w:sz w:val="1"/>
                <w:szCs w:val="1"/>
                <w:color w:val="auto"/>
              </w:rPr>
            </w:pPr>
          </w:p>
        </w:tc>
        <w:tc>
          <w:tcPr>
            <w:tcW w:w="113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113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3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6"/>
        </w:trPr>
        <w:tc>
          <w:tcPr>
            <w:tcW w:w="280" w:type="dxa"/>
            <w:vAlign w:val="bottom"/>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tcBorders>
              <w:bottom w:val="single" w:sz="8" w:color="auto"/>
            </w:tcBorders>
            <w:shd w:val="clear" w:color="auto" w:fill="CCEEFF"/>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21,500</w:t>
            </w:r>
          </w:p>
        </w:tc>
      </w:tr>
      <w:tr>
        <w:trPr>
          <w:trHeight w:val="236"/>
        </w:trPr>
        <w:tc>
          <w:tcPr>
            <w:tcW w:w="3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30" w:type="dxa"/>
            <w:vAlign w:val="bottom"/>
          </w:tcPr>
          <w:p>
            <w:pPr>
              <w:ind w:lef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40"/>
        <w:spacing w:after="0" w:line="267" w:lineRule="auto"/>
        <w:rPr>
          <w:sz w:val="20"/>
          <w:szCs w:val="20"/>
          <w:color w:val="auto"/>
        </w:rPr>
      </w:pPr>
      <w:r>
        <w:rPr>
          <w:rFonts w:ascii="Times New Roman" w:cs="Times New Roman" w:eastAsia="Times New Roman" w:hAnsi="Times New Roman"/>
          <w:sz w:val="18"/>
          <w:szCs w:val="18"/>
          <w:color w:val="auto"/>
        </w:rPr>
        <w:t>Investment securities – available-for-sale are all classified as Level 2 and consist of securities with maturities of three months or longer when purchased. We classified these securities as current because amounts invested are readily available for current operations. Observable inputs for these securities are yields, credit risks, default rates, and volatility.</w:t>
      </w:r>
    </w:p>
    <w:p>
      <w:pPr>
        <w:spacing w:after="0" w:line="160" w:lineRule="exact"/>
        <w:rPr>
          <w:sz w:val="20"/>
          <w:szCs w:val="20"/>
          <w:color w:val="auto"/>
        </w:rPr>
      </w:pPr>
    </w:p>
    <w:p>
      <w:pPr>
        <w:jc w:val="both"/>
        <w:ind w:left="40" w:right="20"/>
        <w:spacing w:after="0" w:line="267" w:lineRule="auto"/>
        <w:rPr>
          <w:sz w:val="20"/>
          <w:szCs w:val="20"/>
          <w:color w:val="auto"/>
        </w:rPr>
      </w:pPr>
      <w:r>
        <w:rPr>
          <w:rFonts w:ascii="Times New Roman" w:cs="Times New Roman" w:eastAsia="Times New Roman" w:hAnsi="Times New Roman"/>
          <w:sz w:val="18"/>
          <w:szCs w:val="18"/>
          <w:color w:val="auto"/>
        </w:rPr>
        <w:t>Contingent consideration classified as Level 3 consists of the potential obligation to pay an earnout to Fassio Egg Farms, Inc. (“Fassio”) contingent on the acquired business meeting certain return on profitability milestones over a three-year period that commenced on the date of the acquisition in the second quarter of fiscal 2024. The fair value of the contingent consideration is</w:t>
      </w:r>
    </w:p>
    <w:p>
      <w:pPr>
        <w:sectPr>
          <w:pgSz w:w="11900" w:h="16838" w:orient="portrait"/>
          <w:cols w:equalWidth="0" w:num="1">
            <w:col w:w="9300"/>
          </w:cols>
          <w:pgMar w:left="1280" w:top="309" w:right="1319"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300"/>
          </w:cols>
          <w:pgMar w:left="1280" w:top="309" w:right="1319" w:bottom="1440" w:gutter="0" w:footer="0" w:header="0"/>
          <w:type w:val="continuous"/>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estimated using a discounted cash flow model. Key assumptions and unobservable inputs that require significant judgment used in the estimate include weighted average cost of capital, egg prices, projected revenue and expenses over the period for which the contingent consideration is measured, and the probability assessments with respect to the likelihood of achieving the forecasted projections.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beginning and ending balances in fair value of the contingent consideration (in thousands):</w:t>
      </w: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May 31, 2025</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adjustments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November 29, 2025</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Fassio Contingent Consideration</w:t>
      </w:r>
    </w:p>
    <w:p>
      <w:pPr>
        <w:spacing w:after="0" w:line="77" w:lineRule="exact"/>
        <w:rPr>
          <w:sz w:val="20"/>
          <w:szCs w:val="20"/>
          <w:color w:val="auto"/>
        </w:rPr>
      </w:pPr>
    </w:p>
    <w:p>
      <w:pPr>
        <w:jc w:val="both"/>
        <w:spacing w:after="0"/>
        <w:tabs>
          <w:tab w:leader="none" w:pos="1880" w:val="left"/>
        </w:tabs>
        <w:rPr>
          <w:sz w:val="20"/>
          <w:szCs w:val="20"/>
          <w:color w:val="auto"/>
        </w:rPr>
      </w:pPr>
      <w:r>
        <w:rPr>
          <w:rFonts w:ascii="Times New Roman" w:cs="Times New Roman" w:eastAsia="Times New Roman" w:hAnsi="Times New Roman"/>
          <w:sz w:val="18"/>
          <w:szCs w:val="18"/>
          <w:color w:val="auto"/>
          <w:shd w:val="clear" w:color="auto" w:fill="CCEEFF"/>
        </w:rPr>
        <w:t>$</w:t>
      </w:r>
      <w:r>
        <w:rPr>
          <w:sz w:val="20"/>
          <w:szCs w:val="20"/>
          <w:color w:val="auto"/>
        </w:rPr>
        <w:tab/>
      </w:r>
      <w:r>
        <w:rPr>
          <w:rFonts w:ascii="Times New Roman" w:cs="Times New Roman" w:eastAsia="Times New Roman" w:hAnsi="Times New Roman"/>
          <w:sz w:val="18"/>
          <w:szCs w:val="18"/>
          <w:color w:val="auto"/>
        </w:rPr>
        <w:t>21,500</w:t>
      </w:r>
    </w:p>
    <w:p>
      <w:pPr>
        <w:spacing w:after="0" w:line="5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1,500</w:t>
      </w:r>
    </w:p>
    <w:p>
      <w:pPr>
        <w:spacing w:after="0" w:line="90"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color w:val="auto"/>
          <w:shd w:val="clear" w:color="auto" w:fill="CCEEFF"/>
        </w:rPr>
        <w:t>$</w:t>
      </w:r>
      <w:r>
        <w:rPr>
          <w:sz w:val="20"/>
          <w:szCs w:val="20"/>
          <w:color w:val="auto"/>
        </w:rPr>
        <w:tab/>
      </w:r>
      <w:r>
        <w:rPr>
          <w:rFonts w:ascii="Times New Roman" w:cs="Times New Roman" w:eastAsia="Times New Roman" w:hAnsi="Times New Roman"/>
          <w:sz w:val="18"/>
          <w:szCs w:val="18"/>
          <w:color w:val="auto"/>
        </w:rPr>
        <w:t>23,000</w:t>
      </w:r>
    </w:p>
    <w:p>
      <w:pPr>
        <w:spacing w:after="0" w:line="200" w:lineRule="exact"/>
        <w:rPr>
          <w:sz w:val="20"/>
          <w:szCs w:val="20"/>
          <w:color w:val="auto"/>
        </w:rPr>
      </w:pPr>
    </w:p>
    <w:p>
      <w:pPr>
        <w:sectPr>
          <w:pgSz w:w="11900" w:h="16838" w:orient="portrait"/>
          <w:cols w:equalWidth="0" w:num="2">
            <w:col w:w="6040" w:space="720"/>
            <w:col w:w="2500"/>
          </w:cols>
          <w:pgMar w:left="1320" w:top="309" w:right="1319" w:bottom="1440" w:gutter="0" w:footer="0" w:header="0"/>
          <w:type w:val="continuous"/>
        </w:sectPr>
      </w:pPr>
    </w:p>
    <w:p>
      <w:pPr>
        <w:spacing w:after="0" w:line="5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Adjustments to the fair value of contingent consideration are recorded within the selling, general and administrative expenses in the condensed consolidation statements of income.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as of November 29, 2025 and May 31, 2025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November 29, 2025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8"/>
                <w:szCs w:val="18"/>
                <w:color w:val="auto"/>
              </w:rPr>
              <w:t>May 31, 2025</w:t>
            </w:r>
          </w:p>
        </w:tc>
      </w:tr>
      <w:tr>
        <w:trPr>
          <w:trHeight w:val="223"/>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Flocks, net of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5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174,456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166,507</w:t>
            </w:r>
          </w:p>
        </w:tc>
      </w:tr>
      <w:tr>
        <w:trPr>
          <w:trHeight w:val="229"/>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Feed and supplies</w:t>
            </w:r>
          </w:p>
        </w:tc>
        <w:tc>
          <w:tcPr>
            <w:tcW w:w="120" w:type="dxa"/>
            <w:vAlign w:val="bottom"/>
          </w:tcPr>
          <w:p>
            <w:pPr>
              <w:spacing w:after="0"/>
              <w:rPr>
                <w:sz w:val="19"/>
                <w:szCs w:val="19"/>
                <w:color w:val="auto"/>
              </w:rPr>
            </w:pPr>
          </w:p>
        </w:tc>
        <w:tc>
          <w:tcPr>
            <w:tcW w:w="1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109,583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99,188</w:t>
            </w:r>
          </w:p>
        </w:tc>
      </w:tr>
      <w:tr>
        <w:trPr>
          <w:trHeight w:val="230"/>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and finished goods inventory</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56,549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29,975</w:t>
            </w:r>
          </w:p>
        </w:tc>
      </w:tr>
      <w:tr>
        <w:trPr>
          <w:trHeight w:val="223"/>
        </w:trPr>
        <w:tc>
          <w:tcPr>
            <w:tcW w:w="58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340,588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295,670</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grow and maintain flocks of layers (mature female chickens), pullets (female chickens, under 18 weeks of age), and breeders (male and female chickens used to produce fertile eggs to hatch for egg production flocks). Our total flock at November 29, 2025 and May 31, 2025 consisted of approximately 11.4 million and 11.5 million pullets and breeders and 49.3 million and 48.3 million layers,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equity activity for the thirteen weeks ended November 29, 2025 and November 30, 2024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Thirteen Weeks Ended November 29, 2025</w:t>
            </w: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850" w:type="dxa"/>
            <w:vAlign w:val="bottom"/>
            <w:tcBorders>
              <w:bottom w:val="single" w:sz="8" w:color="auto"/>
            </w:tcBorders>
          </w:tcPr>
          <w:p>
            <w:pPr>
              <w:spacing w:after="0"/>
              <w:rPr>
                <w:sz w:val="19"/>
                <w:szCs w:val="19"/>
                <w:color w:val="auto"/>
              </w:rPr>
            </w:pPr>
          </w:p>
        </w:tc>
      </w:tr>
      <w:tr>
        <w:trPr>
          <w:trHeight w:val="209"/>
        </w:trPr>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155" w:type="dxa"/>
            <w:vAlign w:val="bottom"/>
          </w:tcPr>
          <w:p>
            <w:pPr>
              <w:spacing w:after="0"/>
              <w:rPr>
                <w:sz w:val="18"/>
                <w:szCs w:val="18"/>
                <w:color w:val="auto"/>
              </w:rPr>
            </w:pPr>
          </w:p>
        </w:tc>
        <w:tc>
          <w:tcPr>
            <w:tcW w:w="84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850" w:type="dxa"/>
            <w:vAlign w:val="bottom"/>
          </w:tcPr>
          <w:p>
            <w:pPr>
              <w:spacing w:after="0"/>
              <w:rPr>
                <w:sz w:val="18"/>
                <w:szCs w:val="18"/>
                <w:color w:val="auto"/>
              </w:rPr>
            </w:pPr>
          </w:p>
        </w:tc>
      </w:tr>
      <w:tr>
        <w:trPr>
          <w:trHeight w:val="230"/>
        </w:trPr>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8"/>
                <w:szCs w:val="18"/>
                <w:color w:val="auto"/>
                <w:w w:val="96"/>
              </w:rPr>
              <w:t>Treasury</w:t>
            </w: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w w:val="93"/>
              </w:rPr>
              <w:t>Paid In</w:t>
            </w:r>
          </w:p>
        </w:tc>
        <w:tc>
          <w:tcPr>
            <w:tcW w:w="20" w:type="dxa"/>
            <w:vAlign w:val="bottom"/>
          </w:tcPr>
          <w:p>
            <w:pPr>
              <w:spacing w:after="0"/>
              <w:rPr>
                <w:sz w:val="20"/>
                <w:szCs w:val="20"/>
                <w:color w:val="auto"/>
              </w:rPr>
            </w:pPr>
          </w:p>
        </w:tc>
        <w:tc>
          <w:tcPr>
            <w:tcW w:w="118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Accum. Other</w:t>
            </w:r>
          </w:p>
        </w:tc>
        <w:tc>
          <w:tcPr>
            <w:tcW w:w="155" w:type="dxa"/>
            <w:vAlign w:val="bottom"/>
            <w:tcBorders>
              <w:top w:val="single" w:sz="8" w:color="auto"/>
            </w:tcBorders>
          </w:tcPr>
          <w:p>
            <w:pPr>
              <w:spacing w:after="0"/>
              <w:rPr>
                <w:sz w:val="20"/>
                <w:szCs w:val="20"/>
                <w:color w:val="auto"/>
              </w:rPr>
            </w:pPr>
          </w:p>
        </w:tc>
        <w:tc>
          <w:tcPr>
            <w:tcW w:w="845"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w w:val="99"/>
              </w:rPr>
              <w:t>Retained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850" w:type="dxa"/>
            <w:vAlign w:val="bottom"/>
          </w:tcPr>
          <w:p>
            <w:pPr>
              <w:spacing w:after="0"/>
              <w:rPr>
                <w:sz w:val="20"/>
                <w:szCs w:val="20"/>
                <w:color w:val="auto"/>
              </w:rPr>
            </w:pPr>
          </w:p>
        </w:tc>
      </w:tr>
      <w:tr>
        <w:trPr>
          <w:trHeight w:val="222"/>
        </w:trPr>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w w:val="92"/>
              </w:rPr>
              <w:t>Capital</w:t>
            </w:r>
          </w:p>
        </w:tc>
        <w:tc>
          <w:tcPr>
            <w:tcW w:w="20" w:type="dxa"/>
            <w:vAlign w:val="bottom"/>
          </w:tcPr>
          <w:p>
            <w:pPr>
              <w:spacing w:after="0"/>
              <w:rPr>
                <w:sz w:val="19"/>
                <w:szCs w:val="19"/>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Comp. Income</w:t>
            </w:r>
          </w:p>
        </w:tc>
        <w:tc>
          <w:tcPr>
            <w:tcW w:w="155" w:type="dxa"/>
            <w:vAlign w:val="bottom"/>
          </w:tcPr>
          <w:p>
            <w:pPr>
              <w:spacing w:after="0"/>
              <w:rPr>
                <w:sz w:val="19"/>
                <w:szCs w:val="19"/>
                <w:color w:val="auto"/>
              </w:rPr>
            </w:pPr>
          </w:p>
        </w:tc>
        <w:tc>
          <w:tcPr>
            <w:tcW w:w="845"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w w:val="99"/>
              </w:rPr>
              <w:t>Earnings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w w:val="96"/>
              </w:rPr>
              <w:t>Interest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850" w:type="dxa"/>
            <w:vAlign w:val="bottom"/>
          </w:tcPr>
          <w:p>
            <w:pPr>
              <w:jc w:val="right"/>
              <w:ind w:right="229"/>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August 30, 2025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(85,891)</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20" w:type="dxa"/>
            <w:vAlign w:val="bottom"/>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w w:val="96"/>
                <w:shd w:val="clear" w:color="auto" w:fill="CCEEFF"/>
              </w:rPr>
              <w:t>82,134</w:t>
            </w:r>
          </w:p>
        </w:tc>
        <w:tc>
          <w:tcPr>
            <w:tcW w:w="20" w:type="dxa"/>
            <w:vAlign w:val="bottom"/>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954</w:t>
            </w:r>
          </w:p>
        </w:tc>
        <w:tc>
          <w:tcPr>
            <w:tcW w:w="40" w:type="dxa"/>
            <w:vAlign w:val="bottom"/>
            <w:tcBorders>
              <w:right w:val="single" w:sz="8" w:color="CCEEFF"/>
            </w:tcBorders>
          </w:tcPr>
          <w:p>
            <w:pPr>
              <w:spacing w:after="0"/>
              <w:rPr>
                <w:sz w:val="18"/>
                <w:szCs w:val="18"/>
                <w:color w:val="auto"/>
              </w:rPr>
            </w:pPr>
          </w:p>
        </w:tc>
        <w:tc>
          <w:tcPr>
            <w:tcW w:w="155"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5"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2,698,811</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40" w:type="dxa"/>
            <w:vAlign w:val="bottom"/>
            <w:tcBorders>
              <w:top w:val="single" w:sz="8" w:color="auto"/>
            </w:tcBorders>
            <w:gridSpan w:val="2"/>
            <w:shd w:val="clear" w:color="auto" w:fill="CCEEFF"/>
          </w:tcPr>
          <w:p>
            <w:pPr>
              <w:spacing w:after="0"/>
              <w:rPr>
                <w:sz w:val="18"/>
                <w:szCs w:val="18"/>
                <w:color w:val="auto"/>
              </w:rPr>
            </w:pPr>
          </w:p>
        </w:tc>
        <w:tc>
          <w:tcPr>
            <w:tcW w:w="15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5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w w:val="99"/>
                <w:shd w:val="clear" w:color="auto" w:fill="CCEEFF"/>
              </w:rPr>
              <w:t>2,701,917</w:t>
            </w:r>
          </w:p>
        </w:tc>
      </w:tr>
      <w:tr>
        <w:trPr>
          <w:trHeight w:val="250"/>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5" w:type="dxa"/>
            <w:vAlign w:val="bottom"/>
          </w:tcPr>
          <w:p>
            <w:pPr>
              <w:spacing w:after="0"/>
              <w:rPr>
                <w:sz w:val="21"/>
                <w:szCs w:val="21"/>
                <w:color w:val="auto"/>
              </w:rPr>
            </w:pPr>
          </w:p>
        </w:tc>
        <w:tc>
          <w:tcPr>
            <w:tcW w:w="84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850" w:type="dxa"/>
            <w:vAlign w:val="bottom"/>
          </w:tcPr>
          <w:p>
            <w:pPr>
              <w:spacing w:after="0"/>
              <w:rPr>
                <w:sz w:val="21"/>
                <w:szCs w:val="21"/>
                <w:color w:val="auto"/>
              </w:rPr>
            </w:pPr>
          </w:p>
        </w:tc>
      </w:tr>
      <w:tr>
        <w:trPr>
          <w:trHeight w:val="209"/>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tcPr>
          <w:p>
            <w:pPr>
              <w:spacing w:after="0"/>
              <w:rPr>
                <w:sz w:val="18"/>
                <w:szCs w:val="18"/>
                <w:color w:val="auto"/>
              </w:rPr>
            </w:pPr>
          </w:p>
        </w:tc>
        <w:tc>
          <w:tcPr>
            <w:tcW w:w="155" w:type="dxa"/>
            <w:vAlign w:val="bottom"/>
          </w:tcPr>
          <w:p>
            <w:pPr>
              <w:spacing w:after="0"/>
              <w:rPr>
                <w:sz w:val="18"/>
                <w:szCs w:val="18"/>
                <w:color w:val="auto"/>
              </w:rPr>
            </w:pPr>
          </w:p>
        </w:tc>
        <w:tc>
          <w:tcPr>
            <w:tcW w:w="845"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9"/>
              <w:spacing w:after="0"/>
              <w:rPr>
                <w:sz w:val="20"/>
                <w:szCs w:val="20"/>
                <w:color w:val="auto"/>
              </w:rPr>
            </w:pPr>
            <w:r>
              <w:rPr>
                <w:rFonts w:ascii="Times New Roman" w:cs="Times New Roman" w:eastAsia="Times New Roman" w:hAnsi="Times New Roman"/>
                <w:sz w:val="18"/>
                <w:szCs w:val="18"/>
                <w:color w:val="auto"/>
              </w:rPr>
              <w:t>372</w:t>
            </w:r>
          </w:p>
        </w:tc>
      </w:tr>
      <w:tr>
        <w:trPr>
          <w:trHeight w:val="256"/>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 plan</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tcBorders>
              <w:right w:val="single" w:sz="8" w:color="CCEEFF"/>
            </w:tcBorders>
          </w:tcPr>
          <w:p>
            <w:pPr>
              <w:spacing w:after="0"/>
              <w:rPr>
                <w:sz w:val="22"/>
                <w:szCs w:val="22"/>
                <w:color w:val="auto"/>
              </w:rPr>
            </w:pPr>
          </w:p>
        </w:tc>
        <w:tc>
          <w:tcPr>
            <w:tcW w:w="155" w:type="dxa"/>
            <w:vAlign w:val="bottom"/>
            <w:shd w:val="clear" w:color="auto" w:fill="CCEEFF"/>
          </w:tcPr>
          <w:p>
            <w:pPr>
              <w:spacing w:after="0"/>
              <w:rPr>
                <w:sz w:val="22"/>
                <w:szCs w:val="22"/>
                <w:color w:val="auto"/>
              </w:rPr>
            </w:pPr>
          </w:p>
        </w:tc>
        <w:tc>
          <w:tcPr>
            <w:tcW w:w="845"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50" w:type="dxa"/>
            <w:vAlign w:val="bottom"/>
            <w:shd w:val="clear" w:color="auto" w:fill="CCEEFF"/>
          </w:tcPr>
          <w:p>
            <w:pPr>
              <w:spacing w:after="0"/>
              <w:rPr>
                <w:sz w:val="22"/>
                <w:szCs w:val="22"/>
                <w:color w:val="auto"/>
              </w:rPr>
            </w:pPr>
          </w:p>
        </w:tc>
        <w:tc>
          <w:tcPr>
            <w:tcW w:w="850" w:type="dxa"/>
            <w:vAlign w:val="bottom"/>
            <w:shd w:val="clear" w:color="auto" w:fill="CCEEFF"/>
          </w:tcPr>
          <w:p>
            <w:pPr>
              <w:spacing w:after="0"/>
              <w:rPr>
                <w:sz w:val="22"/>
                <w:szCs w:val="22"/>
                <w:color w:val="auto"/>
              </w:rPr>
            </w:pPr>
          </w:p>
        </w:tc>
      </w:tr>
      <w:tr>
        <w:trPr>
          <w:trHeight w:val="203"/>
        </w:trPr>
        <w:tc>
          <w:tcPr>
            <w:tcW w:w="23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transactions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right w:val="single" w:sz="8" w:color="CCEEFF"/>
            </w:tcBorders>
            <w:shd w:val="clear" w:color="auto" w:fill="CCEEFF"/>
          </w:tcPr>
          <w:p>
            <w:pPr>
              <w:jc w:val="right"/>
              <w:ind w:right="29"/>
              <w:spacing w:after="0" w:line="202" w:lineRule="exact"/>
              <w:rPr>
                <w:sz w:val="20"/>
                <w:szCs w:val="20"/>
                <w:color w:val="auto"/>
              </w:rPr>
            </w:pPr>
            <w:r>
              <w:rPr>
                <w:rFonts w:ascii="Times New Roman" w:cs="Times New Roman" w:eastAsia="Times New Roman" w:hAnsi="Times New Roman"/>
                <w:sz w:val="18"/>
                <w:szCs w:val="18"/>
                <w:color w:val="auto"/>
              </w:rPr>
              <w:t>1,380</w:t>
            </w:r>
          </w:p>
        </w:tc>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ind w:left="7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7"/>
                <w:szCs w:val="17"/>
                <w:color w:val="auto"/>
              </w:rPr>
            </w:pPr>
          </w:p>
        </w:tc>
        <w:tc>
          <w:tcPr>
            <w:tcW w:w="155" w:type="dxa"/>
            <w:vAlign w:val="bottom"/>
            <w:shd w:val="clear" w:color="auto" w:fill="CCEEFF"/>
          </w:tcPr>
          <w:p>
            <w:pPr>
              <w:spacing w:after="0"/>
              <w:rPr>
                <w:sz w:val="17"/>
                <w:szCs w:val="17"/>
                <w:color w:val="auto"/>
              </w:rPr>
            </w:pPr>
          </w:p>
        </w:tc>
        <w:tc>
          <w:tcPr>
            <w:tcW w:w="845"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 w:type="dxa"/>
            <w:vAlign w:val="bottom"/>
            <w:shd w:val="clear" w:color="auto" w:fill="CCEEFF"/>
          </w:tcPr>
          <w:p>
            <w:pPr>
              <w:spacing w:after="0"/>
              <w:rPr>
                <w:sz w:val="17"/>
                <w:szCs w:val="17"/>
                <w:color w:val="auto"/>
              </w:rPr>
            </w:pPr>
          </w:p>
        </w:tc>
        <w:tc>
          <w:tcPr>
            <w:tcW w:w="85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1,384</w:t>
            </w:r>
          </w:p>
        </w:tc>
      </w:tr>
      <w:tr>
        <w:trPr>
          <w:trHeight w:val="230"/>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5" w:type="dxa"/>
            <w:vAlign w:val="bottom"/>
          </w:tcPr>
          <w:p>
            <w:pPr>
              <w:spacing w:after="0"/>
              <w:rPr>
                <w:sz w:val="19"/>
                <w:szCs w:val="19"/>
                <w:color w:val="auto"/>
              </w:rPr>
            </w:pPr>
          </w:p>
        </w:tc>
        <w:tc>
          <w:tcPr>
            <w:tcW w:w="845"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40" w:type="dxa"/>
            <w:vAlign w:val="bottom"/>
            <w:gridSpan w:val="4"/>
          </w:tcPr>
          <w:p>
            <w:pPr>
              <w:jc w:val="right"/>
              <w:ind w:right="9"/>
              <w:spacing w:after="0"/>
              <w:rPr>
                <w:sz w:val="20"/>
                <w:szCs w:val="20"/>
                <w:color w:val="auto"/>
              </w:rPr>
            </w:pPr>
            <w:r>
              <w:rPr>
                <w:rFonts w:ascii="Times New Roman" w:cs="Times New Roman" w:eastAsia="Times New Roman" w:hAnsi="Times New Roman"/>
                <w:sz w:val="18"/>
                <w:szCs w:val="18"/>
                <w:color w:val="auto"/>
              </w:rPr>
              <w:t>979</w:t>
            </w:r>
          </w:p>
        </w:tc>
      </w:tr>
      <w:tr>
        <w:trPr>
          <w:trHeight w:val="243"/>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21"/>
                <w:szCs w:val="21"/>
                <w:color w:val="auto"/>
              </w:rPr>
            </w:pPr>
          </w:p>
        </w:tc>
        <w:tc>
          <w:tcPr>
            <w:tcW w:w="155" w:type="dxa"/>
            <w:vAlign w:val="bottom"/>
            <w:shd w:val="clear" w:color="auto" w:fill="CCEEFF"/>
          </w:tcPr>
          <w:p>
            <w:pPr>
              <w:spacing w:after="0"/>
              <w:rPr>
                <w:sz w:val="21"/>
                <w:szCs w:val="21"/>
                <w:color w:val="auto"/>
              </w:rPr>
            </w:pPr>
          </w:p>
        </w:tc>
        <w:tc>
          <w:tcPr>
            <w:tcW w:w="845"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 w:type="dxa"/>
            <w:vAlign w:val="bottom"/>
            <w:shd w:val="clear" w:color="auto" w:fill="CCEEFF"/>
          </w:tcPr>
          <w:p>
            <w:pPr>
              <w:spacing w:after="0"/>
              <w:rPr>
                <w:sz w:val="21"/>
                <w:szCs w:val="21"/>
                <w:color w:val="auto"/>
              </w:rPr>
            </w:pPr>
          </w:p>
        </w:tc>
        <w:tc>
          <w:tcPr>
            <w:tcW w:w="8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(75,590)</w:t>
            </w:r>
          </w:p>
        </w:tc>
      </w:tr>
      <w:tr>
        <w:trPr>
          <w:trHeight w:val="216"/>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($0.719 per share)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(34,223)</w:t>
            </w:r>
          </w:p>
        </w:tc>
      </w:tr>
      <w:tr>
        <w:trPr>
          <w:trHeight w:val="243"/>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Borders>
              <w:bottom w:val="single" w:sz="8" w:color="auto"/>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21"/>
                <w:szCs w:val="21"/>
                <w:color w:val="auto"/>
              </w:rPr>
            </w:pPr>
          </w:p>
        </w:tc>
        <w:tc>
          <w:tcPr>
            <w:tcW w:w="155" w:type="dxa"/>
            <w:vAlign w:val="bottom"/>
            <w:tcBorders>
              <w:bottom w:val="single" w:sz="8" w:color="auto"/>
            </w:tcBorders>
            <w:shd w:val="clear" w:color="auto" w:fill="CCEEFF"/>
          </w:tcPr>
          <w:p>
            <w:pPr>
              <w:spacing w:after="0"/>
              <w:rPr>
                <w:sz w:val="21"/>
                <w:szCs w:val="21"/>
                <w:color w:val="auto"/>
              </w:rPr>
            </w:pPr>
          </w:p>
        </w:tc>
        <w:tc>
          <w:tcPr>
            <w:tcW w:w="84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 w:type="dxa"/>
            <w:vAlign w:val="bottom"/>
            <w:tcBorders>
              <w:bottom w:val="single" w:sz="8" w:color="auto"/>
            </w:tcBorders>
            <w:shd w:val="clear" w:color="auto" w:fill="CCEEFF"/>
          </w:tcPr>
          <w:p>
            <w:pPr>
              <w:spacing w:after="0"/>
              <w:rPr>
                <w:sz w:val="21"/>
                <w:szCs w:val="21"/>
                <w:color w:val="auto"/>
              </w:rPr>
            </w:pPr>
          </w:p>
        </w:tc>
        <w:tc>
          <w:tcPr>
            <w:tcW w:w="85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102,927</w:t>
            </w:r>
          </w:p>
        </w:tc>
      </w:tr>
      <w:tr>
        <w:trPr>
          <w:trHeight w:val="223"/>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November 29, 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(161,477)</w:t>
            </w:r>
          </w:p>
        </w:tc>
        <w:tc>
          <w:tcPr>
            <w:tcW w:w="8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$ 83,514</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1,326</w:t>
            </w:r>
          </w:p>
        </w:tc>
        <w:tc>
          <w:tcPr>
            <w:tcW w:w="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$ 2,767,347</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$ 2,697,766</w:t>
            </w:r>
          </w:p>
        </w:tc>
      </w:tr>
      <w:tr>
        <w:trPr>
          <w:trHeight w:val="20"/>
        </w:trPr>
        <w:tc>
          <w:tcPr>
            <w:tcW w:w="2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84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85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60"/>
          </w:cols>
          <w:pgMar w:left="1320" w:top="309"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260"/>
          </w:cols>
          <w:pgMar w:left="1320" w:top="309" w:right="131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7"/>
              </w:rPr>
              <w:t>Index</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5" w:type="dxa"/>
            <w:vAlign w:val="bottom"/>
          </w:tcPr>
          <w:p>
            <w:pPr>
              <w:spacing w:after="0"/>
              <w:rPr>
                <w:sz w:val="17"/>
                <w:szCs w:val="17"/>
                <w:color w:val="auto"/>
              </w:rPr>
            </w:pPr>
          </w:p>
        </w:tc>
        <w:tc>
          <w:tcPr>
            <w:tcW w:w="845"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850" w:type="dxa"/>
            <w:vAlign w:val="bottom"/>
          </w:tcPr>
          <w:p>
            <w:pPr>
              <w:spacing w:after="0"/>
              <w:rPr>
                <w:sz w:val="17"/>
                <w:szCs w:val="17"/>
                <w:color w:val="auto"/>
              </w:rPr>
            </w:pPr>
          </w:p>
        </w:tc>
      </w:tr>
      <w:tr>
        <w:trPr>
          <w:trHeight w:val="723"/>
        </w:trPr>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7"/>
          </w:tcPr>
          <w:p>
            <w:pPr>
              <w:ind w:left="160"/>
              <w:spacing w:after="0"/>
              <w:rPr>
                <w:sz w:val="20"/>
                <w:szCs w:val="20"/>
                <w:color w:val="auto"/>
              </w:rPr>
            </w:pPr>
            <w:r>
              <w:rPr>
                <w:rFonts w:ascii="Times New Roman" w:cs="Times New Roman" w:eastAsia="Times New Roman" w:hAnsi="Times New Roman"/>
                <w:sz w:val="18"/>
                <w:szCs w:val="18"/>
                <w:color w:val="auto"/>
                <w:w w:val="99"/>
              </w:rPr>
              <w:t>Thirteen Weeks Ended November 30, 2024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850" w:type="dxa"/>
            <w:vAlign w:val="bottom"/>
            <w:tcBorders>
              <w:bottom w:val="single" w:sz="8" w:color="auto"/>
            </w:tcBorders>
          </w:tcPr>
          <w:p>
            <w:pPr>
              <w:spacing w:after="0"/>
              <w:rPr>
                <w:sz w:val="24"/>
                <w:szCs w:val="24"/>
                <w:color w:val="auto"/>
              </w:rPr>
            </w:pPr>
          </w:p>
        </w:tc>
      </w:tr>
      <w:tr>
        <w:trPr>
          <w:trHeight w:val="223"/>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20"/>
          </w:tcPr>
          <w:p>
            <w:pPr>
              <w:jc w:val="right"/>
              <w:ind w:right="169"/>
              <w:spacing w:after="0"/>
              <w:rPr>
                <w:sz w:val="20"/>
                <w:szCs w:val="20"/>
                <w:color w:val="auto"/>
              </w:rPr>
            </w:pPr>
            <w:r>
              <w:rPr>
                <w:rFonts w:ascii="Times New Roman" w:cs="Times New Roman" w:eastAsia="Times New Roman" w:hAnsi="Times New Roman"/>
                <w:sz w:val="18"/>
                <w:szCs w:val="18"/>
                <w:color w:val="auto"/>
              </w:rPr>
              <w:t>Cal-Maine Foods, Inc. Stockholders</w:t>
            </w:r>
          </w:p>
        </w:tc>
        <w:tc>
          <w:tcPr>
            <w:tcW w:w="4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84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850" w:type="dxa"/>
            <w:vAlign w:val="bottom"/>
          </w:tcPr>
          <w:p>
            <w:pPr>
              <w:spacing w:after="0"/>
              <w:rPr>
                <w:sz w:val="19"/>
                <w:szCs w:val="19"/>
                <w:color w:val="auto"/>
              </w:rPr>
            </w:pPr>
          </w:p>
        </w:tc>
      </w:tr>
      <w:tr>
        <w:trPr>
          <w:trHeight w:val="217"/>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gridSpan w:val="6"/>
          </w:tcPr>
          <w:p>
            <w:pPr>
              <w:jc w:val="right"/>
              <w:ind w:right="9"/>
              <w:spacing w:after="0"/>
              <w:rPr>
                <w:sz w:val="20"/>
                <w:szCs w:val="20"/>
                <w:color w:val="auto"/>
              </w:rPr>
            </w:pPr>
            <w:r>
              <w:rPr>
                <w:rFonts w:ascii="Times New Roman" w:cs="Times New Roman" w:eastAsia="Times New Roman" w:hAnsi="Times New Roman"/>
                <w:sz w:val="18"/>
                <w:szCs w:val="18"/>
                <w:color w:val="auto"/>
              </w:rPr>
              <w:t>Treasury</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Paid In</w:t>
            </w:r>
          </w:p>
        </w:tc>
        <w:tc>
          <w:tcPr>
            <w:tcW w:w="20" w:type="dxa"/>
            <w:vAlign w:val="bottom"/>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Accum. Other</w:t>
            </w:r>
          </w:p>
        </w:tc>
        <w:tc>
          <w:tcPr>
            <w:tcW w:w="40" w:type="dxa"/>
            <w:vAlign w:val="bottom"/>
          </w:tcPr>
          <w:p>
            <w:pPr>
              <w:spacing w:after="0"/>
              <w:rPr>
                <w:sz w:val="18"/>
                <w:szCs w:val="18"/>
                <w:color w:val="auto"/>
              </w:rPr>
            </w:pPr>
          </w:p>
        </w:tc>
        <w:tc>
          <w:tcPr>
            <w:tcW w:w="155" w:type="dxa"/>
            <w:vAlign w:val="bottom"/>
            <w:tcBorders>
              <w:top w:val="single" w:sz="8" w:color="auto"/>
            </w:tcBorders>
          </w:tcPr>
          <w:p>
            <w:pPr>
              <w:spacing w:after="0"/>
              <w:rPr>
                <w:sz w:val="18"/>
                <w:szCs w:val="18"/>
                <w:color w:val="auto"/>
              </w:rPr>
            </w:pPr>
          </w:p>
        </w:tc>
        <w:tc>
          <w:tcPr>
            <w:tcW w:w="845"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w w:val="99"/>
              </w:rPr>
              <w:t>Retained</w:t>
            </w:r>
          </w:p>
        </w:tc>
        <w:tc>
          <w:tcPr>
            <w:tcW w:w="40" w:type="dxa"/>
            <w:vAlign w:val="bottom"/>
            <w:gridSpan w:val="2"/>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850" w:type="dxa"/>
            <w:vAlign w:val="bottom"/>
          </w:tcPr>
          <w:p>
            <w:pPr>
              <w:spacing w:after="0"/>
              <w:rPr>
                <w:sz w:val="18"/>
                <w:szCs w:val="18"/>
                <w:color w:val="auto"/>
              </w:rPr>
            </w:pPr>
          </w:p>
        </w:tc>
      </w:tr>
      <w:tr>
        <w:trPr>
          <w:trHeight w:val="222"/>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6"/>
          </w:tcPr>
          <w:p>
            <w:pPr>
              <w:jc w:val="right"/>
              <w:ind w:right="29"/>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Capital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w w:val="98"/>
              </w:rPr>
              <w:t>Comp. Loss</w:t>
            </w:r>
          </w:p>
        </w:tc>
        <w:tc>
          <w:tcPr>
            <w:tcW w:w="4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885"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Earnings</w:t>
            </w:r>
          </w:p>
        </w:tc>
        <w:tc>
          <w:tcPr>
            <w:tcW w:w="240" w:type="dxa"/>
            <w:vAlign w:val="bottom"/>
          </w:tcPr>
          <w:p>
            <w:pPr>
              <w:spacing w:after="0"/>
              <w:rPr>
                <w:sz w:val="19"/>
                <w:szCs w:val="19"/>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6"/>
                <w:szCs w:val="16"/>
                <w:color w:val="auto"/>
                <w:w w:val="99"/>
              </w:rPr>
              <w:t>Interest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850" w:type="dxa"/>
            <w:vAlign w:val="bottom"/>
          </w:tcPr>
          <w:p>
            <w:pPr>
              <w:jc w:val="right"/>
              <w:ind w:right="229"/>
              <w:spacing w:after="0"/>
              <w:rPr>
                <w:sz w:val="20"/>
                <w:szCs w:val="20"/>
                <w:color w:val="auto"/>
              </w:rPr>
            </w:pPr>
            <w:r>
              <w:rPr>
                <w:rFonts w:ascii="Times New Roman" w:cs="Times New Roman" w:eastAsia="Times New Roman" w:hAnsi="Times New Roman"/>
                <w:sz w:val="18"/>
                <w:szCs w:val="18"/>
                <w:color w:val="auto"/>
              </w:rPr>
              <w:t>Total</w:t>
            </w:r>
          </w:p>
        </w:tc>
      </w:tr>
      <w:tr>
        <w:trPr>
          <w:trHeight w:val="237"/>
        </w:trPr>
        <w:tc>
          <w:tcPr>
            <w:tcW w:w="18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August 31,</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40" w:type="dxa"/>
            <w:vAlign w:val="bottom"/>
            <w:tcBorders>
              <w:right w:val="single" w:sz="8" w:color="CCEEFF"/>
            </w:tcBorders>
          </w:tcPr>
          <w:p>
            <w:pPr>
              <w:spacing w:after="0"/>
              <w:rPr>
                <w:sz w:val="20"/>
                <w:szCs w:val="20"/>
                <w:color w:val="auto"/>
              </w:rPr>
            </w:pPr>
          </w:p>
        </w:tc>
        <w:tc>
          <w:tcPr>
            <w:tcW w:w="155" w:type="dxa"/>
            <w:vAlign w:val="bottom"/>
            <w:tcBorders>
              <w:top w:val="single" w:sz="8" w:color="auto"/>
            </w:tcBorders>
            <w:shd w:val="clear" w:color="auto" w:fill="CCEEFF"/>
          </w:tcPr>
          <w:p>
            <w:pPr>
              <w:spacing w:after="0"/>
              <w:rPr>
                <w:sz w:val="20"/>
                <w:szCs w:val="20"/>
                <w:color w:val="auto"/>
              </w:rPr>
            </w:pPr>
          </w:p>
        </w:tc>
        <w:tc>
          <w:tcPr>
            <w:tcW w:w="845"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50" w:type="dxa"/>
            <w:vAlign w:val="bottom"/>
            <w:tcBorders>
              <w:top w:val="single" w:sz="8" w:color="auto"/>
            </w:tcBorders>
            <w:shd w:val="clear" w:color="auto" w:fill="CCEEFF"/>
          </w:tcPr>
          <w:p>
            <w:pPr>
              <w:spacing w:after="0"/>
              <w:rPr>
                <w:sz w:val="20"/>
                <w:szCs w:val="20"/>
                <w:color w:val="auto"/>
              </w:rPr>
            </w:pPr>
          </w:p>
        </w:tc>
        <w:tc>
          <w:tcPr>
            <w:tcW w:w="850" w:type="dxa"/>
            <w:vAlign w:val="bottom"/>
            <w:tcBorders>
              <w:top w:val="single" w:sz="8" w:color="auto"/>
            </w:tcBorders>
            <w:shd w:val="clear" w:color="auto" w:fill="CCEEFF"/>
          </w:tcPr>
          <w:p>
            <w:pPr>
              <w:spacing w:after="0"/>
              <w:rPr>
                <w:sz w:val="20"/>
                <w:szCs w:val="20"/>
                <w:color w:val="auto"/>
              </w:rPr>
            </w:pPr>
          </w:p>
        </w:tc>
      </w:tr>
      <w:tr>
        <w:trPr>
          <w:trHeight w:val="216"/>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77"/>
              </w:rPr>
              <w:t>48</w:t>
            </w:r>
          </w:p>
        </w:tc>
        <w:tc>
          <w:tcPr>
            <w:tcW w:w="8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(31,632)</w:t>
            </w:r>
          </w:p>
        </w:tc>
        <w:tc>
          <w:tcPr>
            <w:tcW w:w="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0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77,503</w:t>
            </w:r>
          </w:p>
        </w:tc>
        <w:tc>
          <w:tcPr>
            <w:tcW w:w="20" w:type="dxa"/>
            <w:vAlign w:val="bottom"/>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 w:type="dxa"/>
            <w:vAlign w:val="bottom"/>
            <w:tcBorders>
              <w:right w:val="single" w:sz="8" w:color="CCEEFF"/>
            </w:tcBorders>
          </w:tcPr>
          <w:p>
            <w:pPr>
              <w:spacing w:after="0"/>
              <w:rPr>
                <w:sz w:val="18"/>
                <w:szCs w:val="18"/>
                <w:color w:val="auto"/>
              </w:rPr>
            </w:pPr>
          </w:p>
        </w:tc>
        <w:tc>
          <w:tcPr>
            <w:tcW w:w="15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1,856,405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40" w:type="dxa"/>
            <w:vAlign w:val="bottom"/>
            <w:gridSpan w:val="2"/>
            <w:shd w:val="clear" w:color="auto" w:fill="CCEEFF"/>
          </w:tcPr>
          <w:p>
            <w:pPr>
              <w:spacing w:after="0"/>
              <w:rPr>
                <w:sz w:val="18"/>
                <w:szCs w:val="18"/>
                <w:color w:val="auto"/>
              </w:rPr>
            </w:pPr>
          </w:p>
        </w:tc>
        <w:tc>
          <w:tcPr>
            <w:tcW w:w="15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5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w w:val="99"/>
                <w:shd w:val="clear" w:color="auto" w:fill="CCEEFF"/>
              </w:rPr>
              <w:t>1,899,063</w:t>
            </w:r>
          </w:p>
        </w:tc>
      </w:tr>
      <w:tr>
        <w:trPr>
          <w:trHeight w:val="237"/>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5" w:type="dxa"/>
            <w:vAlign w:val="bottom"/>
          </w:tcPr>
          <w:p>
            <w:pPr>
              <w:spacing w:after="0"/>
              <w:rPr>
                <w:sz w:val="20"/>
                <w:szCs w:val="20"/>
                <w:color w:val="auto"/>
              </w:rPr>
            </w:pPr>
          </w:p>
        </w:tc>
        <w:tc>
          <w:tcPr>
            <w:tcW w:w="84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850" w:type="dxa"/>
            <w:vAlign w:val="bottom"/>
          </w:tcPr>
          <w:p>
            <w:pPr>
              <w:spacing w:after="0"/>
              <w:rPr>
                <w:sz w:val="20"/>
                <w:szCs w:val="20"/>
                <w:color w:val="auto"/>
              </w:rPr>
            </w:pPr>
          </w:p>
        </w:tc>
      </w:tr>
      <w:tr>
        <w:trPr>
          <w:trHeight w:val="222"/>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885"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57"/>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 w:type="dxa"/>
            <w:vAlign w:val="bottom"/>
            <w:tcBorders>
              <w:right w:val="single" w:sz="8" w:color="CCEEFF"/>
            </w:tcBorders>
          </w:tcPr>
          <w:p>
            <w:pPr>
              <w:spacing w:after="0"/>
              <w:rPr>
                <w:sz w:val="22"/>
                <w:szCs w:val="22"/>
                <w:color w:val="auto"/>
              </w:rPr>
            </w:pPr>
          </w:p>
        </w:tc>
        <w:tc>
          <w:tcPr>
            <w:tcW w:w="155" w:type="dxa"/>
            <w:vAlign w:val="bottom"/>
            <w:shd w:val="clear" w:color="auto" w:fill="CCEEFF"/>
          </w:tcPr>
          <w:p>
            <w:pPr>
              <w:spacing w:after="0"/>
              <w:rPr>
                <w:sz w:val="22"/>
                <w:szCs w:val="22"/>
                <w:color w:val="auto"/>
              </w:rPr>
            </w:pPr>
          </w:p>
        </w:tc>
        <w:tc>
          <w:tcPr>
            <w:tcW w:w="845"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50" w:type="dxa"/>
            <w:vAlign w:val="bottom"/>
            <w:shd w:val="clear" w:color="auto" w:fill="CCEEFF"/>
          </w:tcPr>
          <w:p>
            <w:pPr>
              <w:spacing w:after="0"/>
              <w:rPr>
                <w:sz w:val="22"/>
                <w:szCs w:val="22"/>
                <w:color w:val="auto"/>
              </w:rPr>
            </w:pPr>
          </w:p>
        </w:tc>
        <w:tc>
          <w:tcPr>
            <w:tcW w:w="850" w:type="dxa"/>
            <w:vAlign w:val="bottom"/>
            <w:shd w:val="clear" w:color="auto" w:fill="CCEEFF"/>
          </w:tcPr>
          <w:p>
            <w:pPr>
              <w:spacing w:after="0"/>
              <w:rPr>
                <w:sz w:val="22"/>
                <w:szCs w:val="22"/>
                <w:color w:val="auto"/>
              </w:rPr>
            </w:pPr>
          </w:p>
        </w:tc>
      </w:tr>
      <w:tr>
        <w:trPr>
          <w:trHeight w:val="203"/>
        </w:trPr>
        <w:tc>
          <w:tcPr>
            <w:tcW w:w="18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w w:val="77"/>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1,097</w:t>
            </w:r>
          </w:p>
        </w:tc>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7"/>
                <w:szCs w:val="17"/>
                <w:color w:val="auto"/>
              </w:rPr>
            </w:pPr>
          </w:p>
        </w:tc>
        <w:tc>
          <w:tcPr>
            <w:tcW w:w="155" w:type="dxa"/>
            <w:vAlign w:val="bottom"/>
            <w:shd w:val="clear" w:color="auto" w:fill="CCEEFF"/>
          </w:tcPr>
          <w:p>
            <w:pPr>
              <w:spacing w:after="0"/>
              <w:rPr>
                <w:sz w:val="17"/>
                <w:szCs w:val="17"/>
                <w:color w:val="auto"/>
              </w:rPr>
            </w:pPr>
          </w:p>
        </w:tc>
        <w:tc>
          <w:tcPr>
            <w:tcW w:w="845"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 w:type="dxa"/>
            <w:vAlign w:val="bottom"/>
            <w:shd w:val="clear" w:color="auto" w:fill="CCEEFF"/>
          </w:tcPr>
          <w:p>
            <w:pPr>
              <w:spacing w:after="0"/>
              <w:rPr>
                <w:sz w:val="17"/>
                <w:szCs w:val="17"/>
                <w:color w:val="auto"/>
              </w:rPr>
            </w:pPr>
          </w:p>
        </w:tc>
        <w:tc>
          <w:tcPr>
            <w:tcW w:w="85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1,068</w:t>
            </w:r>
          </w:p>
        </w:tc>
      </w:tr>
      <w:tr>
        <w:trPr>
          <w:trHeight w:val="237"/>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 to</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5" w:type="dxa"/>
            <w:vAlign w:val="bottom"/>
          </w:tcPr>
          <w:p>
            <w:pPr>
              <w:spacing w:after="0"/>
              <w:rPr>
                <w:sz w:val="20"/>
                <w:szCs w:val="20"/>
                <w:color w:val="auto"/>
              </w:rPr>
            </w:pPr>
          </w:p>
        </w:tc>
        <w:tc>
          <w:tcPr>
            <w:tcW w:w="84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850" w:type="dxa"/>
            <w:vAlign w:val="bottom"/>
          </w:tcPr>
          <w:p>
            <w:pPr>
              <w:spacing w:after="0"/>
              <w:rPr>
                <w:sz w:val="20"/>
                <w:szCs w:val="20"/>
                <w:color w:val="auto"/>
              </w:rPr>
            </w:pPr>
          </w:p>
        </w:tc>
      </w:tr>
      <w:tr>
        <w:trPr>
          <w:trHeight w:val="222"/>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Crepini Foods LLC</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885"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40" w:type="dxa"/>
            <w:vAlign w:val="bottom"/>
            <w:gridSpan w:val="4"/>
          </w:tcPr>
          <w:p>
            <w:pPr>
              <w:jc w:val="right"/>
              <w:ind w:right="9"/>
              <w:spacing w:after="0"/>
              <w:rPr>
                <w:sz w:val="20"/>
                <w:szCs w:val="20"/>
                <w:color w:val="auto"/>
              </w:rPr>
            </w:pPr>
            <w:r>
              <w:rPr>
                <w:rFonts w:ascii="Times New Roman" w:cs="Times New Roman" w:eastAsia="Times New Roman" w:hAnsi="Times New Roman"/>
                <w:sz w:val="18"/>
                <w:szCs w:val="18"/>
                <w:color w:val="auto"/>
              </w:rPr>
              <w:t>6,485</w:t>
            </w:r>
          </w:p>
        </w:tc>
      </w:tr>
      <w:tr>
        <w:trPr>
          <w:trHeight w:val="291"/>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tcBorders>
              <w:right w:val="single" w:sz="8" w:color="CCEEFF"/>
            </w:tcBorders>
          </w:tcPr>
          <w:p>
            <w:pPr>
              <w:spacing w:after="0"/>
              <w:rPr>
                <w:sz w:val="24"/>
                <w:szCs w:val="24"/>
                <w:color w:val="auto"/>
              </w:rPr>
            </w:pPr>
          </w:p>
        </w:tc>
        <w:tc>
          <w:tcPr>
            <w:tcW w:w="155" w:type="dxa"/>
            <w:vAlign w:val="bottom"/>
            <w:shd w:val="clear" w:color="auto" w:fill="CCEEFF"/>
          </w:tcPr>
          <w:p>
            <w:pPr>
              <w:spacing w:after="0"/>
              <w:rPr>
                <w:sz w:val="24"/>
                <w:szCs w:val="24"/>
                <w:color w:val="auto"/>
              </w:rPr>
            </w:pPr>
          </w:p>
        </w:tc>
        <w:tc>
          <w:tcPr>
            <w:tcW w:w="845"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0" w:type="dxa"/>
            <w:vAlign w:val="bottom"/>
            <w:shd w:val="clear" w:color="auto" w:fill="CCEEFF"/>
          </w:tcPr>
          <w:p>
            <w:pPr>
              <w:spacing w:after="0"/>
              <w:rPr>
                <w:sz w:val="24"/>
                <w:szCs w:val="24"/>
                <w:color w:val="auto"/>
              </w:rPr>
            </w:pPr>
          </w:p>
        </w:tc>
        <w:tc>
          <w:tcPr>
            <w:tcW w:w="850" w:type="dxa"/>
            <w:vAlign w:val="bottom"/>
            <w:shd w:val="clear" w:color="auto" w:fill="CCEEFF"/>
          </w:tcPr>
          <w:p>
            <w:pPr>
              <w:spacing w:after="0"/>
              <w:rPr>
                <w:sz w:val="24"/>
                <w:szCs w:val="24"/>
                <w:color w:val="auto"/>
              </w:rPr>
            </w:pPr>
          </w:p>
        </w:tc>
      </w:tr>
      <w:tr>
        <w:trPr>
          <w:trHeight w:val="203"/>
        </w:trPr>
        <w:tc>
          <w:tcPr>
            <w:tcW w:w="18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Borders>
              <w:right w:val="single" w:sz="8" w:color="CCEEFF"/>
            </w:tcBorders>
          </w:tcPr>
          <w:p>
            <w:pPr>
              <w:spacing w:after="0"/>
              <w:rPr>
                <w:sz w:val="17"/>
                <w:szCs w:val="17"/>
                <w:color w:val="auto"/>
              </w:rPr>
            </w:pPr>
          </w:p>
        </w:tc>
        <w:tc>
          <w:tcPr>
            <w:tcW w:w="155" w:type="dxa"/>
            <w:vAlign w:val="bottom"/>
            <w:shd w:val="clear" w:color="auto" w:fill="CCEEFF"/>
          </w:tcPr>
          <w:p>
            <w:pPr>
              <w:spacing w:after="0"/>
              <w:rPr>
                <w:sz w:val="17"/>
                <w:szCs w:val="17"/>
                <w:color w:val="auto"/>
              </w:rPr>
            </w:pPr>
          </w:p>
        </w:tc>
        <w:tc>
          <w:tcPr>
            <w:tcW w:w="845"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 w:type="dxa"/>
            <w:vAlign w:val="bottom"/>
            <w:shd w:val="clear" w:color="auto" w:fill="CCEEFF"/>
          </w:tcPr>
          <w:p>
            <w:pPr>
              <w:spacing w:after="0"/>
              <w:rPr>
                <w:sz w:val="17"/>
                <w:szCs w:val="17"/>
                <w:color w:val="auto"/>
              </w:rPr>
            </w:pPr>
          </w:p>
        </w:tc>
        <w:tc>
          <w:tcPr>
            <w:tcW w:w="850" w:type="dxa"/>
            <w:vAlign w:val="bottom"/>
            <w:shd w:val="clear" w:color="auto" w:fill="CCEEFF"/>
          </w:tcPr>
          <w:p>
            <w:pPr>
              <w:spacing w:after="0"/>
              <w:rPr>
                <w:sz w:val="17"/>
                <w:szCs w:val="17"/>
                <w:color w:val="auto"/>
              </w:rPr>
            </w:pPr>
          </w:p>
        </w:tc>
      </w:tr>
      <w:tr>
        <w:trPr>
          <w:trHeight w:val="222"/>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MeadowCreek Foods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845"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850" w:type="dxa"/>
            <w:vAlign w:val="bottom"/>
            <w:shd w:val="clear" w:color="auto" w:fill="CCEEFF"/>
          </w:tcPr>
          <w:p>
            <w:pPr>
              <w:spacing w:after="0"/>
              <w:rPr>
                <w:sz w:val="19"/>
                <w:szCs w:val="19"/>
                <w:color w:val="auto"/>
              </w:rPr>
            </w:pPr>
          </w:p>
        </w:tc>
      </w:tr>
      <w:tr>
        <w:trPr>
          <w:trHeight w:val="203"/>
        </w:trPr>
        <w:tc>
          <w:tcPr>
            <w:tcW w:w="18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LLC</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w w:val="77"/>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7"/>
                <w:szCs w:val="17"/>
                <w:color w:val="auto"/>
              </w:rPr>
            </w:pPr>
          </w:p>
        </w:tc>
        <w:tc>
          <w:tcPr>
            <w:tcW w:w="155" w:type="dxa"/>
            <w:vAlign w:val="bottom"/>
            <w:shd w:val="clear" w:color="auto" w:fill="CCEEFF"/>
          </w:tcPr>
          <w:p>
            <w:pPr>
              <w:spacing w:after="0"/>
              <w:rPr>
                <w:sz w:val="17"/>
                <w:szCs w:val="17"/>
                <w:color w:val="auto"/>
              </w:rPr>
            </w:pPr>
          </w:p>
        </w:tc>
        <w:tc>
          <w:tcPr>
            <w:tcW w:w="845"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 w:type="dxa"/>
            <w:vAlign w:val="bottom"/>
            <w:shd w:val="clear" w:color="auto" w:fill="CCEEFF"/>
          </w:tcPr>
          <w:p>
            <w:pPr>
              <w:spacing w:after="0"/>
              <w:rPr>
                <w:sz w:val="17"/>
                <w:szCs w:val="17"/>
                <w:color w:val="auto"/>
              </w:rPr>
            </w:pPr>
          </w:p>
        </w:tc>
        <w:tc>
          <w:tcPr>
            <w:tcW w:w="85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37"/>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($1.489 per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5" w:type="dxa"/>
            <w:vAlign w:val="bottom"/>
          </w:tcPr>
          <w:p>
            <w:pPr>
              <w:spacing w:after="0"/>
              <w:rPr>
                <w:sz w:val="20"/>
                <w:szCs w:val="20"/>
                <w:color w:val="auto"/>
              </w:rPr>
            </w:pPr>
          </w:p>
        </w:tc>
        <w:tc>
          <w:tcPr>
            <w:tcW w:w="84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850" w:type="dxa"/>
            <w:vAlign w:val="bottom"/>
          </w:tcPr>
          <w:p>
            <w:pPr>
              <w:spacing w:after="0"/>
              <w:rPr>
                <w:sz w:val="20"/>
                <w:szCs w:val="20"/>
                <w:color w:val="auto"/>
              </w:rPr>
            </w:pPr>
          </w:p>
        </w:tc>
      </w:tr>
      <w:tr>
        <w:trPr>
          <w:trHeight w:val="222"/>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84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850" w:type="dxa"/>
            <w:vAlign w:val="bottom"/>
          </w:tcPr>
          <w:p>
            <w:pPr>
              <w:spacing w:after="0"/>
              <w:rPr>
                <w:sz w:val="19"/>
                <w:szCs w:val="19"/>
                <w:color w:val="auto"/>
              </w:rPr>
            </w:pPr>
          </w:p>
        </w:tc>
      </w:tr>
      <w:tr>
        <w:trPr>
          <w:trHeight w:val="229"/>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77"/>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8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8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(65,911)</w:t>
            </w:r>
          </w:p>
        </w:tc>
      </w:tr>
      <w:tr>
        <w:trPr>
          <w:trHeight w:val="229"/>
        </w:trPr>
        <w:tc>
          <w:tcPr>
            <w:tcW w:w="1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(7,147)</w:t>
            </w:r>
          </w:p>
        </w:tc>
      </w:tr>
      <w:tr>
        <w:trPr>
          <w:trHeight w:val="230"/>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77"/>
              </w:rPr>
              <w:t>—</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9"/>
                <w:szCs w:val="19"/>
                <w:color w:val="auto"/>
              </w:rPr>
            </w:pPr>
          </w:p>
        </w:tc>
        <w:tc>
          <w:tcPr>
            <w:tcW w:w="155" w:type="dxa"/>
            <w:vAlign w:val="bottom"/>
            <w:tcBorders>
              <w:bottom w:val="single" w:sz="8" w:color="auto"/>
            </w:tcBorders>
            <w:shd w:val="clear" w:color="auto" w:fill="CCEEFF"/>
          </w:tcPr>
          <w:p>
            <w:pPr>
              <w:spacing w:after="0"/>
              <w:rPr>
                <w:sz w:val="19"/>
                <w:szCs w:val="19"/>
                <w:color w:val="auto"/>
              </w:rPr>
            </w:pPr>
          </w:p>
        </w:tc>
        <w:tc>
          <w:tcPr>
            <w:tcW w:w="84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219,064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tcBorders>
              <w:bottom w:val="single" w:sz="8" w:color="auto"/>
            </w:tcBorders>
            <w:shd w:val="clear" w:color="auto" w:fill="CCEEFF"/>
          </w:tcPr>
          <w:p>
            <w:pPr>
              <w:spacing w:after="0"/>
              <w:rPr>
                <w:sz w:val="19"/>
                <w:szCs w:val="19"/>
                <w:color w:val="auto"/>
              </w:rPr>
            </w:pPr>
          </w:p>
        </w:tc>
        <w:tc>
          <w:tcPr>
            <w:tcW w:w="85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218,359</w:t>
            </w:r>
          </w:p>
        </w:tc>
      </w:tr>
      <w:tr>
        <w:trPr>
          <w:trHeight w:val="244"/>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November</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5" w:type="dxa"/>
            <w:vAlign w:val="bottom"/>
          </w:tcPr>
          <w:p>
            <w:pPr>
              <w:spacing w:after="0"/>
              <w:rPr>
                <w:sz w:val="21"/>
                <w:szCs w:val="21"/>
                <w:color w:val="auto"/>
              </w:rPr>
            </w:pPr>
          </w:p>
        </w:tc>
        <w:tc>
          <w:tcPr>
            <w:tcW w:w="84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850" w:type="dxa"/>
            <w:vAlign w:val="bottom"/>
          </w:tcPr>
          <w:p>
            <w:pPr>
              <w:spacing w:after="0"/>
              <w:rPr>
                <w:sz w:val="21"/>
                <w:szCs w:val="21"/>
                <w:color w:val="auto"/>
              </w:rPr>
            </w:pPr>
          </w:p>
        </w:tc>
      </w:tr>
      <w:tr>
        <w:trPr>
          <w:trHeight w:val="222"/>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30, 2024</w:t>
            </w:r>
          </w:p>
        </w:tc>
        <w:tc>
          <w:tcPr>
            <w:tcW w:w="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(31,661)</w:t>
            </w:r>
          </w:p>
        </w:tc>
        <w:tc>
          <w:tcPr>
            <w:tcW w:w="8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$ 78,600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$ 1,998,585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$ 2,051,483</w:t>
            </w:r>
          </w:p>
        </w:tc>
      </w:tr>
      <w:tr>
        <w:trPr>
          <w:trHeight w:val="20"/>
        </w:trPr>
        <w:tc>
          <w:tcPr>
            <w:tcW w:w="1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84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85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8"/>
          </w:tcPr>
          <w:p>
            <w:pPr>
              <w:ind w:left="140"/>
              <w:spacing w:after="0"/>
              <w:rPr>
                <w:sz w:val="20"/>
                <w:szCs w:val="20"/>
                <w:color w:val="auto"/>
              </w:rPr>
            </w:pPr>
            <w:r>
              <w:rPr>
                <w:rFonts w:ascii="Times New Roman" w:cs="Times New Roman" w:eastAsia="Times New Roman" w:hAnsi="Times New Roman"/>
                <w:sz w:val="18"/>
                <w:szCs w:val="18"/>
                <w:color w:val="auto"/>
              </w:rPr>
              <w:t>Twenty-six Weeks Ended November 29, 2025</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850" w:type="dxa"/>
            <w:vAlign w:val="bottom"/>
            <w:tcBorders>
              <w:bottom w:val="single" w:sz="8" w:color="auto"/>
            </w:tcBorders>
          </w:tcPr>
          <w:p>
            <w:pPr>
              <w:spacing w:after="0"/>
              <w:rPr>
                <w:sz w:val="24"/>
                <w:szCs w:val="24"/>
                <w:color w:val="auto"/>
              </w:rPr>
            </w:pPr>
          </w:p>
        </w:tc>
      </w:tr>
      <w:tr>
        <w:trPr>
          <w:trHeight w:val="210"/>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19"/>
          </w:tcPr>
          <w:p>
            <w:pPr>
              <w:jc w:val="center"/>
              <w:ind w:right="89"/>
              <w:spacing w:after="0"/>
              <w:rPr>
                <w:sz w:val="20"/>
                <w:szCs w:val="20"/>
                <w:color w:val="auto"/>
              </w:rPr>
            </w:pPr>
            <w:r>
              <w:rPr>
                <w:rFonts w:ascii="Times New Roman" w:cs="Times New Roman" w:eastAsia="Times New Roman" w:hAnsi="Times New Roman"/>
                <w:sz w:val="18"/>
                <w:szCs w:val="18"/>
                <w:color w:val="auto"/>
              </w:rPr>
              <w:t>Cal-Maine Foods, Inc. Stockholders</w:t>
            </w:r>
          </w:p>
        </w:tc>
        <w:tc>
          <w:tcPr>
            <w:tcW w:w="40" w:type="dxa"/>
            <w:vAlign w:val="bottom"/>
          </w:tcPr>
          <w:p>
            <w:pPr>
              <w:spacing w:after="0"/>
              <w:rPr>
                <w:sz w:val="18"/>
                <w:szCs w:val="18"/>
                <w:color w:val="auto"/>
              </w:rPr>
            </w:pPr>
          </w:p>
        </w:tc>
        <w:tc>
          <w:tcPr>
            <w:tcW w:w="155" w:type="dxa"/>
            <w:vAlign w:val="bottom"/>
            <w:tcBorders>
              <w:bottom w:val="single" w:sz="8" w:color="auto"/>
            </w:tcBorders>
          </w:tcPr>
          <w:p>
            <w:pPr>
              <w:spacing w:after="0"/>
              <w:rPr>
                <w:sz w:val="18"/>
                <w:szCs w:val="18"/>
                <w:color w:val="auto"/>
              </w:rPr>
            </w:pPr>
          </w:p>
        </w:tc>
        <w:tc>
          <w:tcPr>
            <w:tcW w:w="845"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85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jc w:val="center"/>
              <w:ind w:right="29"/>
              <w:spacing w:after="0"/>
              <w:rPr>
                <w:sz w:val="20"/>
                <w:szCs w:val="20"/>
                <w:color w:val="auto"/>
              </w:rPr>
            </w:pPr>
            <w:r>
              <w:rPr>
                <w:rFonts w:ascii="Times New Roman" w:cs="Times New Roman" w:eastAsia="Times New Roman" w:hAnsi="Times New Roman"/>
                <w:sz w:val="18"/>
                <w:szCs w:val="18"/>
                <w:color w:val="auto"/>
                <w:w w:val="99"/>
              </w:rPr>
              <w:t>Accum. Other</w:t>
            </w:r>
          </w:p>
        </w:tc>
        <w:tc>
          <w:tcPr>
            <w:tcW w:w="40" w:type="dxa"/>
            <w:vAlign w:val="bottom"/>
          </w:tcPr>
          <w:p>
            <w:pPr>
              <w:spacing w:after="0"/>
              <w:rPr>
                <w:sz w:val="20"/>
                <w:szCs w:val="20"/>
                <w:color w:val="auto"/>
              </w:rPr>
            </w:pPr>
          </w:p>
        </w:tc>
        <w:tc>
          <w:tcPr>
            <w:tcW w:w="155" w:type="dxa"/>
            <w:vAlign w:val="bottom"/>
          </w:tcPr>
          <w:p>
            <w:pPr>
              <w:spacing w:after="0"/>
              <w:rPr>
                <w:sz w:val="20"/>
                <w:szCs w:val="20"/>
                <w:color w:val="auto"/>
              </w:rPr>
            </w:pPr>
          </w:p>
        </w:tc>
        <w:tc>
          <w:tcPr>
            <w:tcW w:w="84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850" w:type="dxa"/>
            <w:vAlign w:val="bottom"/>
          </w:tcPr>
          <w:p>
            <w:pPr>
              <w:spacing w:after="0"/>
              <w:rPr>
                <w:sz w:val="20"/>
                <w:szCs w:val="20"/>
                <w:color w:val="auto"/>
              </w:rPr>
            </w:pPr>
          </w:p>
        </w:tc>
      </w:tr>
      <w:tr>
        <w:trPr>
          <w:trHeight w:val="230"/>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6"/>
          </w:tcPr>
          <w:p>
            <w:pPr>
              <w:jc w:val="center"/>
              <w:ind w:right="69"/>
              <w:spacing w:after="0"/>
              <w:rPr>
                <w:sz w:val="20"/>
                <w:szCs w:val="20"/>
                <w:color w:val="auto"/>
              </w:rPr>
            </w:pPr>
            <w:r>
              <w:rPr>
                <w:rFonts w:ascii="Times New Roman" w:cs="Times New Roman" w:eastAsia="Times New Roman" w:hAnsi="Times New Roman"/>
                <w:sz w:val="18"/>
                <w:szCs w:val="18"/>
                <w:color w:val="auto"/>
                <w:w w:val="99"/>
              </w:rPr>
              <w:t>Treasury</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Paid In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4"/>
          </w:tcPr>
          <w:p>
            <w:pPr>
              <w:jc w:val="center"/>
              <w:ind w:right="49"/>
              <w:spacing w:after="0"/>
              <w:rPr>
                <w:sz w:val="20"/>
                <w:szCs w:val="20"/>
                <w:color w:val="auto"/>
              </w:rPr>
            </w:pPr>
            <w:r>
              <w:rPr>
                <w:rFonts w:ascii="Times New Roman" w:cs="Times New Roman" w:eastAsia="Times New Roman" w:hAnsi="Times New Roman"/>
                <w:sz w:val="18"/>
                <w:szCs w:val="18"/>
                <w:color w:val="auto"/>
              </w:rPr>
              <w:t>Comp. Income</w:t>
            </w:r>
          </w:p>
        </w:tc>
        <w:tc>
          <w:tcPr>
            <w:tcW w:w="4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885"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Retained</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Noncontrolling</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850" w:type="dxa"/>
            <w:vAlign w:val="bottom"/>
          </w:tcPr>
          <w:p>
            <w:pPr>
              <w:spacing w:after="0"/>
              <w:rPr>
                <w:sz w:val="19"/>
                <w:szCs w:val="19"/>
                <w:color w:val="auto"/>
              </w:rPr>
            </w:pPr>
          </w:p>
        </w:tc>
      </w:tr>
      <w:tr>
        <w:trPr>
          <w:trHeight w:val="222"/>
        </w:trPr>
        <w:tc>
          <w:tcPr>
            <w:tcW w:w="1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6"/>
          </w:tcPr>
          <w:p>
            <w:pPr>
              <w:jc w:val="center"/>
              <w:ind w:right="29"/>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Capital</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329"/>
              <w:spacing w:after="0"/>
              <w:rPr>
                <w:sz w:val="20"/>
                <w:szCs w:val="20"/>
                <w:color w:val="auto"/>
              </w:rPr>
            </w:pPr>
            <w:r>
              <w:rPr>
                <w:rFonts w:ascii="Times New Roman" w:cs="Times New Roman" w:eastAsia="Times New Roman" w:hAnsi="Times New Roman"/>
                <w:sz w:val="18"/>
                <w:szCs w:val="18"/>
                <w:color w:val="auto"/>
                <w:w w:val="99"/>
              </w:rPr>
              <w:t>(Loss)</w:t>
            </w:r>
          </w:p>
        </w:tc>
        <w:tc>
          <w:tcPr>
            <w:tcW w:w="40" w:type="dxa"/>
            <w:vAlign w:val="bottom"/>
          </w:tcPr>
          <w:p>
            <w:pPr>
              <w:spacing w:after="0"/>
              <w:rPr>
                <w:sz w:val="19"/>
                <w:szCs w:val="19"/>
                <w:color w:val="auto"/>
              </w:rPr>
            </w:pPr>
          </w:p>
        </w:tc>
        <w:tc>
          <w:tcPr>
            <w:tcW w:w="155" w:type="dxa"/>
            <w:vAlign w:val="bottom"/>
            <w:tcBorders>
              <w:bottom w:val="single" w:sz="8" w:color="auto"/>
            </w:tcBorders>
          </w:tcPr>
          <w:p>
            <w:pPr>
              <w:spacing w:after="0"/>
              <w:rPr>
                <w:sz w:val="19"/>
                <w:szCs w:val="19"/>
                <w:color w:val="auto"/>
              </w:rPr>
            </w:pPr>
          </w:p>
        </w:tc>
        <w:tc>
          <w:tcPr>
            <w:tcW w:w="845"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w w:val="99"/>
              </w:rPr>
              <w:t>Earnings</w:t>
            </w:r>
          </w:p>
        </w:tc>
        <w:tc>
          <w:tcPr>
            <w:tcW w:w="40" w:type="dxa"/>
            <w:vAlign w:val="bottom"/>
            <w:tcBorders>
              <w:bottom w:val="single" w:sz="8" w:color="CCEEFF"/>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Interest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85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1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Balance at May 31, 2025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751</w:t>
            </w:r>
          </w:p>
        </w:tc>
        <w:tc>
          <w:tcPr>
            <w:tcW w:w="4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(85,893)</w:t>
            </w:r>
          </w:p>
        </w:tc>
        <w:tc>
          <w:tcPr>
            <w:tcW w:w="6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80,845</w:t>
            </w:r>
          </w:p>
        </w:tc>
        <w:tc>
          <w:tcPr>
            <w:tcW w:w="10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8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0" w:type="dxa"/>
            <w:vAlign w:val="bottom"/>
            <w:tcBorders>
              <w:right w:val="single" w:sz="8" w:color="CCEEFF"/>
            </w:tcBorders>
          </w:tcPr>
          <w:p>
            <w:pPr>
              <w:spacing w:after="0"/>
              <w:rPr>
                <w:sz w:val="19"/>
                <w:szCs w:val="19"/>
                <w:color w:val="auto"/>
              </w:rPr>
            </w:pPr>
          </w:p>
        </w:tc>
        <w:tc>
          <w:tcPr>
            <w:tcW w:w="15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2,565,928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40" w:type="dxa"/>
            <w:vAlign w:val="bottom"/>
            <w:gridSpan w:val="2"/>
            <w:shd w:val="clear" w:color="auto" w:fill="CCEEFF"/>
          </w:tcPr>
          <w:p>
            <w:pPr>
              <w:spacing w:after="0"/>
              <w:rPr>
                <w:sz w:val="19"/>
                <w:szCs w:val="19"/>
                <w:color w:val="auto"/>
              </w:rPr>
            </w:pPr>
          </w:p>
        </w:tc>
        <w:tc>
          <w:tcPr>
            <w:tcW w:w="15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5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w w:val="99"/>
                <w:shd w:val="clear" w:color="auto" w:fill="CCEEFF"/>
              </w:rPr>
              <w:t>2,566,015</w:t>
            </w:r>
          </w:p>
        </w:tc>
      </w:tr>
      <w:tr>
        <w:trPr>
          <w:trHeight w:val="237"/>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5" w:type="dxa"/>
            <w:vAlign w:val="bottom"/>
          </w:tcPr>
          <w:p>
            <w:pPr>
              <w:spacing w:after="0"/>
              <w:rPr>
                <w:sz w:val="20"/>
                <w:szCs w:val="20"/>
                <w:color w:val="auto"/>
              </w:rPr>
            </w:pPr>
          </w:p>
        </w:tc>
        <w:tc>
          <w:tcPr>
            <w:tcW w:w="84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850" w:type="dxa"/>
            <w:vAlign w:val="bottom"/>
          </w:tcPr>
          <w:p>
            <w:pPr>
              <w:spacing w:after="0"/>
              <w:rPr>
                <w:sz w:val="20"/>
                <w:szCs w:val="20"/>
                <w:color w:val="auto"/>
              </w:rPr>
            </w:pPr>
          </w:p>
        </w:tc>
      </w:tr>
      <w:tr>
        <w:trPr>
          <w:trHeight w:val="222"/>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4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885"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9"/>
              <w:spacing w:after="0"/>
              <w:rPr>
                <w:sz w:val="20"/>
                <w:szCs w:val="20"/>
                <w:color w:val="auto"/>
              </w:rPr>
            </w:pPr>
            <w:r>
              <w:rPr>
                <w:rFonts w:ascii="Times New Roman" w:cs="Times New Roman" w:eastAsia="Times New Roman" w:hAnsi="Times New Roman"/>
                <w:sz w:val="18"/>
                <w:szCs w:val="18"/>
                <w:color w:val="auto"/>
              </w:rPr>
              <w:t>2,333</w:t>
            </w:r>
          </w:p>
        </w:tc>
      </w:tr>
      <w:tr>
        <w:trPr>
          <w:trHeight w:val="243"/>
        </w:trPr>
        <w:tc>
          <w:tcPr>
            <w:tcW w:w="1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 plan</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tcBorders>
              <w:right w:val="single" w:sz="8" w:color="CCEEFF"/>
            </w:tcBorders>
          </w:tcPr>
          <w:p>
            <w:pPr>
              <w:spacing w:after="0"/>
              <w:rPr>
                <w:sz w:val="21"/>
                <w:szCs w:val="21"/>
                <w:color w:val="auto"/>
              </w:rPr>
            </w:pPr>
          </w:p>
        </w:tc>
        <w:tc>
          <w:tcPr>
            <w:tcW w:w="155" w:type="dxa"/>
            <w:vAlign w:val="bottom"/>
            <w:shd w:val="clear" w:color="auto" w:fill="CCEEFF"/>
          </w:tcPr>
          <w:p>
            <w:pPr>
              <w:spacing w:after="0"/>
              <w:rPr>
                <w:sz w:val="21"/>
                <w:szCs w:val="21"/>
                <w:color w:val="auto"/>
              </w:rPr>
            </w:pPr>
          </w:p>
        </w:tc>
        <w:tc>
          <w:tcPr>
            <w:tcW w:w="845"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 w:type="dxa"/>
            <w:vAlign w:val="bottom"/>
            <w:shd w:val="clear" w:color="auto" w:fill="CCEEFF"/>
          </w:tcPr>
          <w:p>
            <w:pPr>
              <w:spacing w:after="0"/>
              <w:rPr>
                <w:sz w:val="21"/>
                <w:szCs w:val="21"/>
                <w:color w:val="auto"/>
              </w:rPr>
            </w:pPr>
          </w:p>
        </w:tc>
        <w:tc>
          <w:tcPr>
            <w:tcW w:w="850" w:type="dxa"/>
            <w:vAlign w:val="bottom"/>
            <w:shd w:val="clear" w:color="auto" w:fill="CCEEFF"/>
          </w:tcPr>
          <w:p>
            <w:pPr>
              <w:spacing w:after="0"/>
              <w:rPr>
                <w:sz w:val="21"/>
                <w:szCs w:val="21"/>
                <w:color w:val="auto"/>
              </w:rPr>
            </w:pPr>
          </w:p>
        </w:tc>
      </w:tr>
      <w:tr>
        <w:trPr>
          <w:trHeight w:val="216"/>
        </w:trPr>
        <w:tc>
          <w:tcPr>
            <w:tcW w:w="18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transactions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2,669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8"/>
                <w:szCs w:val="18"/>
                <w:color w:val="auto"/>
              </w:rPr>
            </w:pPr>
          </w:p>
        </w:tc>
        <w:tc>
          <w:tcPr>
            <w:tcW w:w="155" w:type="dxa"/>
            <w:vAlign w:val="bottom"/>
            <w:shd w:val="clear" w:color="auto" w:fill="CCEEFF"/>
          </w:tcPr>
          <w:p>
            <w:pPr>
              <w:spacing w:after="0"/>
              <w:rPr>
                <w:sz w:val="18"/>
                <w:szCs w:val="18"/>
                <w:color w:val="auto"/>
              </w:rPr>
            </w:pPr>
          </w:p>
        </w:tc>
        <w:tc>
          <w:tcPr>
            <w:tcW w:w="845"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70" w:type="dxa"/>
            <w:vAlign w:val="bottom"/>
            <w:gridSpan w:val="2"/>
            <w:shd w:val="clear" w:color="auto" w:fill="CCEEFF"/>
          </w:tcPr>
          <w:p>
            <w:pPr>
              <w:spacing w:after="0"/>
              <w:rPr>
                <w:sz w:val="18"/>
                <w:szCs w:val="18"/>
                <w:color w:val="auto"/>
              </w:rPr>
            </w:pPr>
          </w:p>
        </w:tc>
        <w:tc>
          <w:tcPr>
            <w:tcW w:w="85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2,675</w:t>
            </w:r>
          </w:p>
        </w:tc>
      </w:tr>
      <w:tr>
        <w:trPr>
          <w:trHeight w:val="229"/>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885"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40" w:type="dxa"/>
            <w:vAlign w:val="bottom"/>
            <w:gridSpan w:val="4"/>
          </w:tcPr>
          <w:p>
            <w:pPr>
              <w:jc w:val="right"/>
              <w:ind w:right="9"/>
              <w:spacing w:after="0"/>
              <w:rPr>
                <w:sz w:val="20"/>
                <w:szCs w:val="20"/>
                <w:color w:val="auto"/>
              </w:rPr>
            </w:pPr>
            <w:r>
              <w:rPr>
                <w:rFonts w:ascii="Times New Roman" w:cs="Times New Roman" w:eastAsia="Times New Roman" w:hAnsi="Times New Roman"/>
                <w:sz w:val="18"/>
                <w:szCs w:val="18"/>
                <w:color w:val="auto"/>
              </w:rPr>
              <w:t>979</w:t>
            </w:r>
          </w:p>
        </w:tc>
      </w:tr>
      <w:tr>
        <w:trPr>
          <w:trHeight w:val="230"/>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845"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70" w:type="dxa"/>
            <w:vAlign w:val="bottom"/>
            <w:gridSpan w:val="2"/>
            <w:shd w:val="clear" w:color="auto" w:fill="CCEEFF"/>
          </w:tcPr>
          <w:p>
            <w:pPr>
              <w:spacing w:after="0"/>
              <w:rPr>
                <w:sz w:val="19"/>
                <w:szCs w:val="19"/>
                <w:color w:val="auto"/>
              </w:rPr>
            </w:pPr>
          </w:p>
        </w:tc>
        <w:tc>
          <w:tcPr>
            <w:tcW w:w="8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(75,590)</w:t>
            </w:r>
          </w:p>
        </w:tc>
      </w:tr>
      <w:tr>
        <w:trPr>
          <w:trHeight w:val="237"/>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($2.097 per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5" w:type="dxa"/>
            <w:vAlign w:val="bottom"/>
          </w:tcPr>
          <w:p>
            <w:pPr>
              <w:spacing w:after="0"/>
              <w:rPr>
                <w:sz w:val="20"/>
                <w:szCs w:val="20"/>
                <w:color w:val="auto"/>
              </w:rPr>
            </w:pPr>
          </w:p>
        </w:tc>
        <w:tc>
          <w:tcPr>
            <w:tcW w:w="84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850" w:type="dxa"/>
            <w:vAlign w:val="bottom"/>
          </w:tcPr>
          <w:p>
            <w:pPr>
              <w:spacing w:after="0"/>
              <w:rPr>
                <w:sz w:val="20"/>
                <w:szCs w:val="20"/>
                <w:color w:val="auto"/>
              </w:rPr>
            </w:pPr>
          </w:p>
        </w:tc>
      </w:tr>
      <w:tr>
        <w:trPr>
          <w:trHeight w:val="222"/>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(100,680)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(100,680)</w:t>
            </w:r>
          </w:p>
        </w:tc>
      </w:tr>
      <w:tr>
        <w:trPr>
          <w:trHeight w:val="229"/>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8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302,099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9"/>
                <w:szCs w:val="19"/>
                <w:color w:val="auto"/>
              </w:rPr>
            </w:pPr>
          </w:p>
        </w:tc>
        <w:tc>
          <w:tcPr>
            <w:tcW w:w="170" w:type="dxa"/>
            <w:vAlign w:val="bottom"/>
            <w:gridSpan w:val="2"/>
            <w:shd w:val="clear" w:color="auto" w:fill="CCEEFF"/>
          </w:tcPr>
          <w:p>
            <w:pPr>
              <w:spacing w:after="0"/>
              <w:rPr>
                <w:sz w:val="19"/>
                <w:szCs w:val="19"/>
                <w:color w:val="auto"/>
              </w:rPr>
            </w:pPr>
          </w:p>
        </w:tc>
        <w:tc>
          <w:tcPr>
            <w:tcW w:w="85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302,034</w:t>
            </w:r>
          </w:p>
        </w:tc>
      </w:tr>
      <w:tr>
        <w:trPr>
          <w:trHeight w:val="244"/>
        </w:trPr>
        <w:tc>
          <w:tcPr>
            <w:tcW w:w="19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Balance at November 29,</w:t>
            </w: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55" w:type="dxa"/>
            <w:vAlign w:val="bottom"/>
            <w:tcBorders>
              <w:top w:val="single" w:sz="8" w:color="auto"/>
            </w:tcBorders>
          </w:tcPr>
          <w:p>
            <w:pPr>
              <w:spacing w:after="0"/>
              <w:rPr>
                <w:sz w:val="21"/>
                <w:szCs w:val="21"/>
                <w:color w:val="auto"/>
              </w:rPr>
            </w:pPr>
          </w:p>
        </w:tc>
        <w:tc>
          <w:tcPr>
            <w:tcW w:w="845"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 w:type="dxa"/>
            <w:vAlign w:val="bottom"/>
            <w:tcBorders>
              <w:top w:val="single" w:sz="8" w:color="auto"/>
            </w:tcBorders>
          </w:tcPr>
          <w:p>
            <w:pPr>
              <w:spacing w:after="0"/>
              <w:rPr>
                <w:sz w:val="21"/>
                <w:szCs w:val="21"/>
                <w:color w:val="auto"/>
              </w:rPr>
            </w:pPr>
          </w:p>
        </w:tc>
        <w:tc>
          <w:tcPr>
            <w:tcW w:w="850" w:type="dxa"/>
            <w:vAlign w:val="bottom"/>
            <w:tcBorders>
              <w:top w:val="single" w:sz="8" w:color="auto"/>
            </w:tcBorders>
          </w:tcPr>
          <w:p>
            <w:pPr>
              <w:spacing w:after="0"/>
              <w:rPr>
                <w:sz w:val="21"/>
                <w:szCs w:val="21"/>
                <w:color w:val="auto"/>
              </w:rPr>
            </w:pPr>
          </w:p>
        </w:tc>
      </w:tr>
      <w:tr>
        <w:trPr>
          <w:trHeight w:val="209"/>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751</w:t>
            </w:r>
          </w:p>
        </w:tc>
        <w:tc>
          <w:tcPr>
            <w:tcW w:w="10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(161,477)</w:t>
            </w:r>
          </w:p>
        </w:tc>
        <w:tc>
          <w:tcPr>
            <w:tcW w:w="7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$ 83,514</w:t>
            </w:r>
          </w:p>
        </w:tc>
        <w:tc>
          <w:tcPr>
            <w:tcW w:w="240" w:type="dxa"/>
            <w:vAlign w:val="bottom"/>
            <w:gridSpan w:val="3"/>
          </w:tcPr>
          <w:p>
            <w:pPr>
              <w:jc w:val="center"/>
              <w:ind w:left="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$ 2,767,347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$ 2,697,766</w:t>
            </w:r>
          </w:p>
        </w:tc>
      </w:tr>
      <w:tr>
        <w:trPr>
          <w:trHeight w:val="21"/>
        </w:trPr>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84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85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260"/>
          </w:cols>
          <w:pgMar w:left="1320" w:top="297" w:right="13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60"/>
          </w:cols>
          <w:pgMar w:left="1320" w:top="297" w:right="131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7"/>
              </w:rPr>
              <w:t>Index</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850" w:type="dxa"/>
            <w:vAlign w:val="bottom"/>
          </w:tcPr>
          <w:p>
            <w:pPr>
              <w:spacing w:after="0"/>
              <w:rPr>
                <w:sz w:val="17"/>
                <w:szCs w:val="17"/>
                <w:color w:val="auto"/>
              </w:rPr>
            </w:pPr>
          </w:p>
        </w:tc>
      </w:tr>
      <w:tr>
        <w:trPr>
          <w:trHeight w:val="723"/>
        </w:trPr>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5"/>
          </w:tcPr>
          <w:p>
            <w:pPr>
              <w:ind w:left="460"/>
              <w:spacing w:after="0"/>
              <w:rPr>
                <w:sz w:val="20"/>
                <w:szCs w:val="20"/>
                <w:color w:val="auto"/>
              </w:rPr>
            </w:pPr>
            <w:r>
              <w:rPr>
                <w:rFonts w:ascii="Times New Roman" w:cs="Times New Roman" w:eastAsia="Times New Roman" w:hAnsi="Times New Roman"/>
                <w:sz w:val="18"/>
                <w:szCs w:val="18"/>
                <w:color w:val="auto"/>
              </w:rPr>
              <w:t>Twenty-six Weeks Ended November 30, 2024</w:t>
            </w:r>
          </w:p>
        </w:tc>
        <w:tc>
          <w:tcPr>
            <w:tcW w:w="980" w:type="dxa"/>
            <w:vAlign w:val="bottom"/>
            <w:tcBorders>
              <w:bottom w:val="single" w:sz="8" w:color="auto"/>
            </w:tcBorders>
          </w:tcPr>
          <w:p>
            <w:pPr>
              <w:spacing w:after="0"/>
              <w:rPr>
                <w:sz w:val="24"/>
                <w:szCs w:val="24"/>
                <w:color w:val="auto"/>
              </w:rPr>
            </w:pPr>
          </w:p>
        </w:tc>
        <w:tc>
          <w:tcPr>
            <w:tcW w:w="170" w:type="dxa"/>
            <w:vAlign w:val="bottom"/>
            <w:tcBorders>
              <w:bottom w:val="single" w:sz="8" w:color="auto"/>
            </w:tcBorders>
          </w:tcPr>
          <w:p>
            <w:pPr>
              <w:spacing w:after="0"/>
              <w:rPr>
                <w:sz w:val="24"/>
                <w:szCs w:val="24"/>
                <w:color w:val="auto"/>
              </w:rPr>
            </w:pPr>
          </w:p>
        </w:tc>
        <w:tc>
          <w:tcPr>
            <w:tcW w:w="850" w:type="dxa"/>
            <w:vAlign w:val="bottom"/>
            <w:tcBorders>
              <w:bottom w:val="single" w:sz="8" w:color="auto"/>
            </w:tcBorders>
          </w:tcPr>
          <w:p>
            <w:pPr>
              <w:spacing w:after="0"/>
              <w:rPr>
                <w:sz w:val="24"/>
                <w:szCs w:val="24"/>
                <w:color w:val="auto"/>
              </w:rPr>
            </w:pPr>
          </w:p>
        </w:tc>
      </w:tr>
      <w:tr>
        <w:trPr>
          <w:trHeight w:val="223"/>
        </w:trPr>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00" w:type="dxa"/>
            <w:vAlign w:val="bottom"/>
            <w:gridSpan w:val="16"/>
          </w:tcPr>
          <w:p>
            <w:pPr>
              <w:jc w:val="right"/>
              <w:ind w:right="169"/>
              <w:spacing w:after="0"/>
              <w:rPr>
                <w:sz w:val="20"/>
                <w:szCs w:val="20"/>
                <w:color w:val="auto"/>
              </w:rPr>
            </w:pPr>
            <w:r>
              <w:rPr>
                <w:rFonts w:ascii="Times New Roman" w:cs="Times New Roman" w:eastAsia="Times New Roman" w:hAnsi="Times New Roman"/>
                <w:sz w:val="18"/>
                <w:szCs w:val="18"/>
                <w:color w:val="auto"/>
              </w:rPr>
              <w:t>Cal-Maine Foods, Inc. Stockholders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850" w:type="dxa"/>
            <w:vAlign w:val="bottom"/>
          </w:tcPr>
          <w:p>
            <w:pPr>
              <w:spacing w:after="0"/>
              <w:rPr>
                <w:sz w:val="19"/>
                <w:szCs w:val="19"/>
                <w:color w:val="auto"/>
              </w:rPr>
            </w:pPr>
          </w:p>
        </w:tc>
      </w:tr>
      <w:tr>
        <w:trPr>
          <w:trHeight w:val="217"/>
        </w:trPr>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Treasury</w:t>
            </w:r>
          </w:p>
        </w:tc>
        <w:tc>
          <w:tcPr>
            <w:tcW w:w="720" w:type="dxa"/>
            <w:vAlign w:val="bottom"/>
            <w:tcBorders>
              <w:top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8"/>
                <w:szCs w:val="18"/>
                <w:color w:val="auto"/>
              </w:rPr>
              <w:t>Paid In</w:t>
            </w:r>
          </w:p>
        </w:tc>
        <w:tc>
          <w:tcPr>
            <w:tcW w:w="40" w:type="dxa"/>
            <w:vAlign w:val="bottom"/>
          </w:tcPr>
          <w:p>
            <w:pPr>
              <w:spacing w:after="0"/>
              <w:rPr>
                <w:sz w:val="18"/>
                <w:szCs w:val="18"/>
                <w:color w:val="auto"/>
              </w:rPr>
            </w:pPr>
          </w:p>
        </w:tc>
        <w:tc>
          <w:tcPr>
            <w:tcW w:w="11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Accum. Other</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rPr>
              <w:t>Retained</w:t>
            </w:r>
          </w:p>
        </w:tc>
        <w:tc>
          <w:tcPr>
            <w:tcW w:w="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Noncontrolling</w:t>
            </w:r>
          </w:p>
        </w:tc>
        <w:tc>
          <w:tcPr>
            <w:tcW w:w="170" w:type="dxa"/>
            <w:vAlign w:val="bottom"/>
          </w:tcPr>
          <w:p>
            <w:pPr>
              <w:spacing w:after="0"/>
              <w:rPr>
                <w:sz w:val="18"/>
                <w:szCs w:val="18"/>
                <w:color w:val="auto"/>
              </w:rPr>
            </w:pPr>
          </w:p>
        </w:tc>
        <w:tc>
          <w:tcPr>
            <w:tcW w:w="850" w:type="dxa"/>
            <w:vAlign w:val="bottom"/>
          </w:tcPr>
          <w:p>
            <w:pPr>
              <w:spacing w:after="0"/>
              <w:rPr>
                <w:sz w:val="18"/>
                <w:szCs w:val="18"/>
                <w:color w:val="auto"/>
              </w:rPr>
            </w:pPr>
          </w:p>
        </w:tc>
      </w:tr>
      <w:tr>
        <w:trPr>
          <w:trHeight w:val="222"/>
        </w:trPr>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Pr>
          <w:p>
            <w:pPr>
              <w:spacing w:after="0"/>
              <w:rPr>
                <w:sz w:val="19"/>
                <w:szCs w:val="19"/>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Amount</w:t>
            </w:r>
          </w:p>
        </w:tc>
        <w:tc>
          <w:tcPr>
            <w:tcW w:w="720" w:type="dxa"/>
            <w:vAlign w:val="bottom"/>
            <w:gridSpan w:val="3"/>
          </w:tcPr>
          <w:p>
            <w:pPr>
              <w:jc w:val="right"/>
              <w:ind w:right="9"/>
              <w:spacing w:after="0"/>
              <w:rPr>
                <w:sz w:val="20"/>
                <w:szCs w:val="20"/>
                <w:color w:val="auto"/>
              </w:rPr>
            </w:pPr>
            <w:r>
              <w:rPr>
                <w:rFonts w:ascii="Times New Roman" w:cs="Times New Roman" w:eastAsia="Times New Roman" w:hAnsi="Times New Roman"/>
                <w:sz w:val="18"/>
                <w:szCs w:val="18"/>
                <w:color w:val="auto"/>
              </w:rPr>
              <w:t>Capital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w w:val="96"/>
              </w:rPr>
              <w:t>Comp.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Earnings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6"/>
                <w:szCs w:val="16"/>
                <w:color w:val="auto"/>
              </w:rPr>
              <w:t>Interest</w:t>
            </w:r>
          </w:p>
        </w:tc>
        <w:tc>
          <w:tcPr>
            <w:tcW w:w="170" w:type="dxa"/>
            <w:vAlign w:val="bottom"/>
          </w:tcPr>
          <w:p>
            <w:pPr>
              <w:spacing w:after="0"/>
              <w:rPr>
                <w:sz w:val="19"/>
                <w:szCs w:val="19"/>
                <w:color w:val="auto"/>
              </w:rPr>
            </w:pPr>
          </w:p>
        </w:tc>
        <w:tc>
          <w:tcPr>
            <w:tcW w:w="850" w:type="dxa"/>
            <w:vAlign w:val="bottom"/>
          </w:tcPr>
          <w:p>
            <w:pPr>
              <w:jc w:val="right"/>
              <w:ind w:right="229"/>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17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Balance at June 1, 2024</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703</w:t>
            </w:r>
          </w:p>
        </w:tc>
        <w:tc>
          <w:tcPr>
            <w:tcW w:w="4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(31,597)</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76,371</w:t>
            </w:r>
          </w:p>
        </w:tc>
        <w:tc>
          <w:tcPr>
            <w:tcW w:w="40" w:type="dxa"/>
            <w:vAlign w:val="bottom"/>
            <w:tcBorders>
              <w:right w:val="single" w:sz="8" w:color="CCEEFF"/>
            </w:tcBorders>
          </w:tcPr>
          <w:p>
            <w:pPr>
              <w:spacing w:after="0"/>
              <w:rPr>
                <w:sz w:val="19"/>
                <w:szCs w:val="19"/>
                <w:color w:val="auto"/>
              </w:rPr>
            </w:pPr>
          </w:p>
        </w:tc>
        <w:tc>
          <w:tcPr>
            <w:tcW w:w="140" w:type="dxa"/>
            <w:vAlign w:val="bottom"/>
            <w:tcBorders>
              <w:top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20" w:type="dxa"/>
            <w:vAlign w:val="bottom"/>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1,756,395</w:t>
            </w:r>
          </w:p>
        </w:tc>
        <w:tc>
          <w:tcPr>
            <w:tcW w:w="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7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5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w w:val="99"/>
                <w:shd w:val="clear" w:color="auto" w:fill="CCEEFF"/>
              </w:rPr>
              <w:t>1,797,043</w:t>
            </w:r>
          </w:p>
        </w:tc>
      </w:tr>
      <w:tr>
        <w:trPr>
          <w:trHeight w:val="237"/>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850" w:type="dxa"/>
            <w:vAlign w:val="bottom"/>
          </w:tcPr>
          <w:p>
            <w:pPr>
              <w:spacing w:after="0"/>
              <w:rPr>
                <w:sz w:val="20"/>
                <w:szCs w:val="20"/>
                <w:color w:val="auto"/>
              </w:rPr>
            </w:pPr>
          </w:p>
        </w:tc>
      </w:tr>
      <w:tr>
        <w:trPr>
          <w:trHeight w:val="222"/>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865</w:t>
            </w:r>
          </w:p>
        </w:tc>
      </w:tr>
      <w:tr>
        <w:trPr>
          <w:trHeight w:val="257"/>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spacing w:after="0"/>
              <w:rPr>
                <w:sz w:val="22"/>
                <w:szCs w:val="22"/>
                <w:color w:val="auto"/>
              </w:rPr>
            </w:pPr>
          </w:p>
        </w:tc>
        <w:tc>
          <w:tcPr>
            <w:tcW w:w="40" w:type="dxa"/>
            <w:vAlign w:val="bottom"/>
            <w:tcBorders>
              <w:right w:val="single" w:sz="8" w:color="CCEEFF"/>
            </w:tcBorders>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70" w:type="dxa"/>
            <w:vAlign w:val="bottom"/>
            <w:shd w:val="clear" w:color="auto" w:fill="CCEEFF"/>
          </w:tcPr>
          <w:p>
            <w:pPr>
              <w:spacing w:after="0"/>
              <w:rPr>
                <w:sz w:val="22"/>
                <w:szCs w:val="22"/>
                <w:color w:val="auto"/>
              </w:rPr>
            </w:pPr>
          </w:p>
        </w:tc>
        <w:tc>
          <w:tcPr>
            <w:tcW w:w="850" w:type="dxa"/>
            <w:vAlign w:val="bottom"/>
            <w:shd w:val="clear" w:color="auto" w:fill="CCEEFF"/>
          </w:tcPr>
          <w:p>
            <w:pPr>
              <w:spacing w:after="0"/>
              <w:rPr>
                <w:sz w:val="22"/>
                <w:szCs w:val="22"/>
                <w:color w:val="auto"/>
              </w:rPr>
            </w:pPr>
          </w:p>
        </w:tc>
      </w:tr>
      <w:tr>
        <w:trPr>
          <w:trHeight w:val="203"/>
        </w:trPr>
        <w:tc>
          <w:tcPr>
            <w:tcW w:w="17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1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2,229</w:t>
            </w:r>
          </w:p>
        </w:tc>
        <w:tc>
          <w:tcPr>
            <w:tcW w:w="40" w:type="dxa"/>
            <w:vAlign w:val="bottom"/>
            <w:tcBorders>
              <w:right w:val="single" w:sz="8" w:color="CCEEFF"/>
            </w:tcBorders>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 w:type="dxa"/>
            <w:vAlign w:val="bottom"/>
            <w:shd w:val="clear" w:color="auto" w:fill="CCEEFF"/>
          </w:tcPr>
          <w:p>
            <w:pPr>
              <w:spacing w:after="0"/>
              <w:rPr>
                <w:sz w:val="17"/>
                <w:szCs w:val="17"/>
                <w:color w:val="auto"/>
              </w:rPr>
            </w:pPr>
          </w:p>
        </w:tc>
        <w:tc>
          <w:tcPr>
            <w:tcW w:w="85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2,165</w:t>
            </w:r>
          </w:p>
        </w:tc>
      </w:tr>
      <w:tr>
        <w:trPr>
          <w:trHeight w:val="237"/>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 to</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850" w:type="dxa"/>
            <w:vAlign w:val="bottom"/>
          </w:tcPr>
          <w:p>
            <w:pPr>
              <w:spacing w:after="0"/>
              <w:rPr>
                <w:sz w:val="20"/>
                <w:szCs w:val="20"/>
                <w:color w:val="auto"/>
              </w:rPr>
            </w:pPr>
          </w:p>
        </w:tc>
      </w:tr>
      <w:tr>
        <w:trPr>
          <w:trHeight w:val="222"/>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Crepini Foods LLC</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2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6,485</w:t>
            </w:r>
          </w:p>
        </w:tc>
      </w:tr>
      <w:tr>
        <w:trPr>
          <w:trHeight w:val="277"/>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40" w:type="dxa"/>
            <w:vAlign w:val="bottom"/>
            <w:tcBorders>
              <w:right w:val="single" w:sz="8" w:color="CCEEFF"/>
            </w:tcBorders>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70" w:type="dxa"/>
            <w:vAlign w:val="bottom"/>
            <w:shd w:val="clear" w:color="auto" w:fill="CCEEFF"/>
          </w:tcPr>
          <w:p>
            <w:pPr>
              <w:spacing w:after="0"/>
              <w:rPr>
                <w:sz w:val="24"/>
                <w:szCs w:val="24"/>
                <w:color w:val="auto"/>
              </w:rPr>
            </w:pPr>
          </w:p>
        </w:tc>
        <w:tc>
          <w:tcPr>
            <w:tcW w:w="850" w:type="dxa"/>
            <w:vAlign w:val="bottom"/>
            <w:shd w:val="clear" w:color="auto" w:fill="CCEEFF"/>
          </w:tcPr>
          <w:p>
            <w:pPr>
              <w:spacing w:after="0"/>
              <w:rPr>
                <w:sz w:val="24"/>
                <w:szCs w:val="24"/>
                <w:color w:val="auto"/>
              </w:rPr>
            </w:pPr>
          </w:p>
        </w:tc>
      </w:tr>
      <w:tr>
        <w:trPr>
          <w:trHeight w:val="216"/>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r>
      <w:tr>
        <w:trPr>
          <w:trHeight w:val="222"/>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MeadowCreek</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850" w:type="dxa"/>
            <w:vAlign w:val="bottom"/>
            <w:shd w:val="clear" w:color="auto" w:fill="CCEEFF"/>
          </w:tcPr>
          <w:p>
            <w:pPr>
              <w:spacing w:after="0"/>
              <w:rPr>
                <w:sz w:val="19"/>
                <w:szCs w:val="19"/>
                <w:color w:val="auto"/>
              </w:rPr>
            </w:pPr>
          </w:p>
        </w:tc>
      </w:tr>
      <w:tr>
        <w:trPr>
          <w:trHeight w:val="203"/>
        </w:trPr>
        <w:tc>
          <w:tcPr>
            <w:tcW w:w="17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Foods LLC</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(3,826)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3,826</w:t>
            </w:r>
          </w:p>
        </w:tc>
        <w:tc>
          <w:tcPr>
            <w:tcW w:w="170" w:type="dxa"/>
            <w:vAlign w:val="bottom"/>
            <w:shd w:val="clear" w:color="auto" w:fill="CCEEFF"/>
          </w:tcPr>
          <w:p>
            <w:pPr>
              <w:spacing w:after="0"/>
              <w:rPr>
                <w:sz w:val="17"/>
                <w:szCs w:val="17"/>
                <w:color w:val="auto"/>
              </w:rPr>
            </w:pPr>
          </w:p>
        </w:tc>
        <w:tc>
          <w:tcPr>
            <w:tcW w:w="85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37"/>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($2.509 per</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850" w:type="dxa"/>
            <w:vAlign w:val="bottom"/>
          </w:tcPr>
          <w:p>
            <w:pPr>
              <w:spacing w:after="0"/>
              <w:rPr>
                <w:sz w:val="20"/>
                <w:szCs w:val="20"/>
                <w:color w:val="auto"/>
              </w:rPr>
            </w:pPr>
          </w:p>
        </w:tc>
      </w:tr>
      <w:tr>
        <w:trPr>
          <w:trHeight w:val="222"/>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850" w:type="dxa"/>
            <w:vAlign w:val="bottom"/>
          </w:tcPr>
          <w:p>
            <w:pPr>
              <w:spacing w:after="0"/>
              <w:rPr>
                <w:sz w:val="19"/>
                <w:szCs w:val="19"/>
                <w:color w:val="auto"/>
              </w:rPr>
            </w:pPr>
          </w:p>
        </w:tc>
      </w:tr>
      <w:tr>
        <w:trPr>
          <w:trHeight w:val="230"/>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(110,986)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 w:type="dxa"/>
            <w:vAlign w:val="bottom"/>
            <w:shd w:val="clear" w:color="auto" w:fill="CCEEFF"/>
          </w:tcPr>
          <w:p>
            <w:pPr>
              <w:spacing w:after="0"/>
              <w:rPr>
                <w:sz w:val="19"/>
                <w:szCs w:val="19"/>
                <w:color w:val="auto"/>
              </w:rPr>
            </w:pPr>
          </w:p>
        </w:tc>
        <w:tc>
          <w:tcPr>
            <w:tcW w:w="8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(110,986)</w:t>
            </w:r>
          </w:p>
        </w:tc>
      </w:tr>
      <w:tr>
        <w:trPr>
          <w:trHeight w:val="229"/>
        </w:trPr>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(12,038)</w:t>
            </w:r>
          </w:p>
        </w:tc>
      </w:tr>
      <w:tr>
        <w:trPr>
          <w:trHeight w:val="229"/>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tcPr>
          <w:p>
            <w:pPr>
              <w:spacing w:after="0"/>
              <w:rPr>
                <w:sz w:val="19"/>
                <w:szCs w:val="19"/>
                <w:color w:val="auto"/>
              </w:rPr>
            </w:pPr>
          </w:p>
        </w:tc>
        <w:tc>
          <w:tcPr>
            <w:tcW w:w="140" w:type="dxa"/>
            <w:vAlign w:val="bottom"/>
            <w:tcBorders>
              <w:bottom w:val="single" w:sz="8" w:color="auto"/>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369,040</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70" w:type="dxa"/>
            <w:vAlign w:val="bottom"/>
            <w:tcBorders>
              <w:bottom w:val="single" w:sz="8" w:color="auto"/>
            </w:tcBorders>
            <w:shd w:val="clear" w:color="auto" w:fill="CCEEFF"/>
          </w:tcPr>
          <w:p>
            <w:pPr>
              <w:spacing w:after="0"/>
              <w:rPr>
                <w:sz w:val="19"/>
                <w:szCs w:val="19"/>
                <w:color w:val="auto"/>
              </w:rPr>
            </w:pPr>
          </w:p>
        </w:tc>
        <w:tc>
          <w:tcPr>
            <w:tcW w:w="85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367,949</w:t>
            </w:r>
          </w:p>
        </w:tc>
      </w:tr>
      <w:tr>
        <w:trPr>
          <w:trHeight w:val="244"/>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November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850" w:type="dxa"/>
            <w:vAlign w:val="bottom"/>
          </w:tcPr>
          <w:p>
            <w:pPr>
              <w:spacing w:after="0"/>
              <w:rPr>
                <w:sz w:val="21"/>
                <w:szCs w:val="21"/>
                <w:color w:val="auto"/>
              </w:rPr>
            </w:pPr>
          </w:p>
        </w:tc>
      </w:tr>
      <w:tr>
        <w:trPr>
          <w:trHeight w:val="222"/>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30, 2024</w:t>
            </w:r>
          </w:p>
        </w:tc>
        <w:tc>
          <w:tcPr>
            <w:tcW w:w="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 (31,661)</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$ 78,600</w:t>
            </w:r>
          </w:p>
        </w:tc>
        <w:tc>
          <w:tcPr>
            <w:tcW w:w="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1,998,585</w:t>
            </w:r>
          </w:p>
        </w:tc>
        <w:tc>
          <w:tcPr>
            <w:tcW w:w="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6,116</w:t>
            </w: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$ 2,051,483</w:t>
            </w:r>
          </w:p>
        </w:tc>
      </w:tr>
      <w:tr>
        <w:trPr>
          <w:trHeight w:val="20"/>
        </w:trPr>
        <w:tc>
          <w:tcPr>
            <w:tcW w:w="1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85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7 - Net Income per Common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net income per share attributable to Cal-Maine Foods, Inc. is based on the weighted average shares of Common Stock (and when they were outstanding shares of Class A Common Stock) outstanding. All shares of Class A Common Stock were converted into Common Stock on April 14, 2025. Diluted net income per share attributable to Cal-Maine Foods, Inc. is based on weighted-average shares of Common Stock outstanding during the relevant period adjusted for the dilutive effect of share-based awards.</w:t>
      </w:r>
    </w:p>
    <w:p>
      <w:pPr>
        <w:sectPr>
          <w:pgSz w:w="11900" w:h="16838" w:orient="portrait"/>
          <w:cols w:equalWidth="0" w:num="1">
            <w:col w:w="9260"/>
          </w:cols>
          <w:pgMar w:left="1320" w:top="2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60"/>
          </w:cols>
          <w:pgMar w:left="1320" w:top="297" w:right="131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used to determine basic and diluted net income per common share attributable to Cal-Maine Foods, Inc. (amounts 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Thirteen Weeks Ended</w:t>
            </w: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8"/>
                <w:szCs w:val="18"/>
                <w:color w:val="auto"/>
              </w:rPr>
              <w:t>Twenty-six Weeks Ended</w:t>
            </w:r>
          </w:p>
        </w:tc>
      </w:tr>
      <w:tr>
        <w:trPr>
          <w:trHeight w:val="223"/>
        </w:trPr>
        <w:tc>
          <w:tcPr>
            <w:tcW w:w="4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29, 2025</w:t>
            </w: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November 29, 2025</w:t>
            </w:r>
          </w:p>
        </w:tc>
        <w:tc>
          <w:tcPr>
            <w:tcW w:w="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r>
      <w:tr>
        <w:trPr>
          <w:trHeight w:val="223"/>
        </w:trPr>
        <w:tc>
          <w:tcPr>
            <w:tcW w:w="4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102,927</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218,359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302,034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367,949</w:t>
            </w:r>
          </w:p>
        </w:tc>
      </w:tr>
      <w:tr>
        <w:trPr>
          <w:trHeight w:val="223"/>
        </w:trPr>
        <w:tc>
          <w:tcPr>
            <w:tcW w:w="40" w:type="dxa"/>
            <w:vAlign w:val="bottom"/>
            <w:shd w:val="clear" w:color="auto" w:fill="CCEEFF"/>
          </w:tcPr>
          <w:p>
            <w:pPr>
              <w:spacing w:after="0"/>
              <w:rPr>
                <w:sz w:val="19"/>
                <w:szCs w:val="19"/>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Gain (loss) attributable to</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6"/>
        </w:trPr>
        <w:tc>
          <w:tcPr>
            <w:tcW w:w="40" w:type="dxa"/>
            <w:vAlign w:val="bottom"/>
            <w:shd w:val="clear" w:color="auto" w:fill="CCEEFF"/>
          </w:tcPr>
          <w:p>
            <w:pPr>
              <w:spacing w:after="0"/>
              <w:rPr>
                <w:sz w:val="20"/>
                <w:szCs w:val="20"/>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30"/>
        </w:trPr>
        <w:tc>
          <w:tcPr>
            <w:tcW w:w="40" w:type="dxa"/>
            <w:vAlign w:val="bottom"/>
          </w:tcPr>
          <w:p>
            <w:pPr>
              <w:spacing w:after="0"/>
              <w:rPr>
                <w:sz w:val="20"/>
                <w:szCs w:val="20"/>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Cal-Maine</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62"/>
        </w:trPr>
        <w:tc>
          <w:tcPr>
            <w:tcW w:w="40" w:type="dxa"/>
            <w:vAlign w:val="bottom"/>
          </w:tcPr>
          <w:p>
            <w:pPr>
              <w:spacing w:after="0"/>
              <w:rPr>
                <w:sz w:val="22"/>
                <w:szCs w:val="22"/>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Foods,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102,759</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219,064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302,099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369,040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3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40" w:type="dxa"/>
            <w:vAlign w:val="bottom"/>
            <w:shd w:val="clear" w:color="auto" w:fill="CCEEFF"/>
          </w:tcPr>
          <w:p>
            <w:pPr>
              <w:spacing w:after="0"/>
              <w:rPr>
                <w:sz w:val="21"/>
                <w:szCs w:val="21"/>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03"/>
        </w:trPr>
        <w:tc>
          <w:tcPr>
            <w:tcW w:w="40" w:type="dxa"/>
            <w:vAlign w:val="bottom"/>
            <w:shd w:val="clear" w:color="auto" w:fill="CCEEFF"/>
          </w:tcPr>
          <w:p>
            <w:pPr>
              <w:spacing w:after="0"/>
              <w:rPr>
                <w:sz w:val="17"/>
                <w:szCs w:val="17"/>
                <w:color w:val="auto"/>
              </w:rPr>
            </w:pPr>
          </w:p>
        </w:tc>
        <w:tc>
          <w:tcPr>
            <w:tcW w:w="304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outstanding, basic</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48,019</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48,765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48,150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48,762</w:t>
            </w:r>
          </w:p>
        </w:tc>
      </w:tr>
      <w:tr>
        <w:trPr>
          <w:trHeight w:val="243"/>
        </w:trPr>
        <w:tc>
          <w:tcPr>
            <w:tcW w:w="40" w:type="dxa"/>
            <w:vAlign w:val="bottom"/>
            <w:tcBorders>
              <w:bottom w:val="single" w:sz="8" w:color="CCEEFF"/>
            </w:tcBorders>
          </w:tcPr>
          <w:p>
            <w:pPr>
              <w:spacing w:after="0"/>
              <w:rPr>
                <w:sz w:val="21"/>
                <w:szCs w:val="21"/>
                <w:color w:val="auto"/>
              </w:rPr>
            </w:pPr>
          </w:p>
        </w:tc>
        <w:tc>
          <w:tcPr>
            <w:tcW w:w="3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Effect of dilutive restricted shares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8"/>
                <w:szCs w:val="18"/>
                <w:color w:val="auto"/>
              </w:rPr>
              <w:t>191</w:t>
            </w:r>
          </w:p>
        </w:tc>
      </w:tr>
      <w:tr>
        <w:trPr>
          <w:trHeight w:val="250"/>
        </w:trPr>
        <w:tc>
          <w:tcPr>
            <w:tcW w:w="40" w:type="dxa"/>
            <w:vAlign w:val="bottom"/>
            <w:shd w:val="clear" w:color="auto" w:fill="CCEEFF"/>
          </w:tcPr>
          <w:p>
            <w:pPr>
              <w:spacing w:after="0"/>
              <w:rPr>
                <w:sz w:val="21"/>
                <w:szCs w:val="21"/>
                <w:color w:val="auto"/>
              </w:rPr>
            </w:pPr>
          </w:p>
        </w:tc>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03"/>
        </w:trPr>
        <w:tc>
          <w:tcPr>
            <w:tcW w:w="40" w:type="dxa"/>
            <w:vAlign w:val="bottom"/>
            <w:shd w:val="clear" w:color="auto" w:fill="CCEEFF"/>
          </w:tcPr>
          <w:p>
            <w:pPr>
              <w:spacing w:after="0"/>
              <w:rPr>
                <w:sz w:val="17"/>
                <w:szCs w:val="17"/>
                <w:color w:val="auto"/>
              </w:rPr>
            </w:pPr>
          </w:p>
        </w:tc>
        <w:tc>
          <w:tcPr>
            <w:tcW w:w="304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outstanding, diluted</w:t>
            </w: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48,167</w:t>
            </w:r>
          </w:p>
        </w:tc>
        <w:tc>
          <w:tcPr>
            <w:tcW w:w="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48,970</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48,295</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48,953</w:t>
            </w:r>
          </w:p>
        </w:tc>
      </w:tr>
      <w:tr>
        <w:trPr>
          <w:trHeight w:val="20"/>
        </w:trPr>
        <w:tc>
          <w:tcPr>
            <w:tcW w:w="30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30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7"/>
        </w:trPr>
        <w:tc>
          <w:tcPr>
            <w:tcW w:w="40" w:type="dxa"/>
            <w:vAlign w:val="bottom"/>
            <w:shd w:val="clear" w:color="auto" w:fill="CCEEFF"/>
          </w:tcPr>
          <w:p>
            <w:pPr>
              <w:spacing w:after="0"/>
              <w:rPr>
                <w:sz w:val="22"/>
                <w:szCs w:val="22"/>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16"/>
        </w:trPr>
        <w:tc>
          <w:tcPr>
            <w:tcW w:w="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Cal-Maine Foods, Inc.</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70"/>
        </w:trPr>
        <w:tc>
          <w:tcPr>
            <w:tcW w:w="40" w:type="dxa"/>
            <w:vAlign w:val="bottom"/>
          </w:tcPr>
          <w:p>
            <w:pPr>
              <w:spacing w:after="0"/>
              <w:rPr>
                <w:sz w:val="23"/>
                <w:szCs w:val="23"/>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7.57</w:t>
            </w:r>
          </w:p>
        </w:tc>
      </w:tr>
      <w:tr>
        <w:trPr>
          <w:trHeight w:val="237"/>
        </w:trPr>
        <w:tc>
          <w:tcPr>
            <w:tcW w:w="4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7.54</w:t>
            </w: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 Based Compensation</w:t>
      </w:r>
    </w:p>
    <w:p>
      <w:pPr>
        <w:spacing w:after="0" w:line="22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Total stock-based compensation expense was $2.7 million and $2.2 million for the twenty-six weeks ended November 29, 2025 and November 30, 2024, respectively.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Unrecognized compensation expense as a result of non-vested shares of equity-based awards outstanding under the Amended and Restated 2012 Omnibus Long-Term Incentive Plan at November 29, 2025 of $6.9 million will be recorded over a weighted average period of 1.9 years. Refer to Part II Item 8, Notes to Consolidated Financial Statements and Supplementary Data, Note 13 – Stock-Based Compensation in our 2025 Annual Report for further information on our stock compensation plans.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equity-based award activity for the twenty-six weeks ended November 29, 2025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209"/>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26"/>
        </w:trPr>
        <w:tc>
          <w:tcPr>
            <w:tcW w:w="66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2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May 31, 2025</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212,717</w:t>
            </w:r>
          </w:p>
        </w:tc>
        <w:tc>
          <w:tcPr>
            <w:tcW w:w="1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66.93</w:t>
            </w:r>
          </w:p>
        </w:tc>
      </w:tr>
      <w:tr>
        <w:trPr>
          <w:trHeight w:val="216"/>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100.42</w:t>
            </w:r>
          </w:p>
        </w:tc>
      </w:tr>
      <w:tr>
        <w:trPr>
          <w:trHeight w:val="24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54.10</w:t>
            </w:r>
          </w:p>
        </w:tc>
      </w:tr>
      <w:tr>
        <w:trPr>
          <w:trHeight w:val="229"/>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84.09</w:t>
            </w:r>
          </w:p>
        </w:tc>
      </w:tr>
      <w:tr>
        <w:trPr>
          <w:trHeight w:val="223"/>
        </w:trPr>
        <w:tc>
          <w:tcPr>
            <w:tcW w:w="6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November 29, 2025</w:t>
            </w:r>
          </w:p>
        </w:tc>
        <w:tc>
          <w:tcPr>
            <w:tcW w:w="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228,201</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2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69.41</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260"/>
          </w:cols>
          <w:pgMar w:left="1320" w:top="309" w:right="131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Reporting</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Company has one operating and one reportable segment, which is the production, packaging, marketing and distribution of shell eggs, prepared foods and egg products. The Company is managed on a consolidated basis.</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operating segment is determined on the basis of our organizational structure and information that is regularly reviewed by our Chief Operating Decision Maker (“CODM”). The Company’s CODM is Sherman Miller, President and Chief Executive Officer. The CODM reviews net income, which is reported on the Condensed Consolidated Statements of Income, to assess the performance of, and make decisions on how to allocate resources to, the segment. The CODM utilizes consolidated expense information regularly provided in the CODM package in order to assist with assessing performance and deciding how to allocate resources, which align with the consolidated expense categories as disclosed on the face of the Condensed Consolidated Statements of Income. The measure of segment assets is reported on the Condensed Consolidated Balance Sheet as Total assets.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primarily derives from the sales of shell eggs, prepared foods, and egg products throughout the United States. The Company’s shell egg product offerings include specialty and conventional shell eggs. Specialty shell eggs include cage-free, organic, brown, free-range, pasture-raised and nutritionally enhanced eggs. Conventional shell eggs sales represent all other shell egg sales not sold as specialty shell eggs. The Company’s prepared foods include offerings such as pre-cooked egg patties, omelets, folded and scrambled egg formats, hard-cooked eggs, pancakes, waffles, and specialty wraps. Egg products include liquid and frozen egg products. Other sales represent feed sales, miscellaneous byproducts and resale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disaggregated by product category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color w:val="auto"/>
              </w:rPr>
              <w:t>Thirteen Weeks Ended</w:t>
            </w: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jc w:val="right"/>
              <w:ind w:right="529"/>
              <w:spacing w:after="0"/>
              <w:rPr>
                <w:sz w:val="20"/>
                <w:szCs w:val="20"/>
                <w:color w:val="auto"/>
              </w:rPr>
            </w:pPr>
            <w:r>
              <w:rPr>
                <w:rFonts w:ascii="Times New Roman" w:cs="Times New Roman" w:eastAsia="Times New Roman" w:hAnsi="Times New Roman"/>
                <w:sz w:val="18"/>
                <w:szCs w:val="18"/>
                <w:color w:val="auto"/>
              </w:rPr>
              <w:t>Twenty-six Weeks Ended</w:t>
            </w:r>
          </w:p>
        </w:tc>
      </w:tr>
      <w:tr>
        <w:trPr>
          <w:trHeight w:val="223"/>
        </w:trPr>
        <w:tc>
          <w:tcPr>
            <w:tcW w:w="30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29, 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November 29, 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r>
      <w:tr>
        <w:trPr>
          <w:trHeight w:val="223"/>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 shell egg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363,865</w:t>
            </w:r>
          </w:p>
        </w:tc>
        <w:tc>
          <w:tcPr>
            <w:tcW w:w="60" w:type="dxa"/>
            <w:vAlign w:val="bottom"/>
            <w:gridSpan w:val="2"/>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w w:val="95"/>
              </w:rPr>
              <w:t>616,891</w:t>
            </w:r>
          </w:p>
        </w:tc>
        <w:tc>
          <w:tcPr>
            <w:tcW w:w="60" w:type="dxa"/>
            <w:vAlign w:val="bottom"/>
            <w:gridSpan w:val="2"/>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869,806</w:t>
            </w:r>
          </w:p>
        </w:tc>
        <w:tc>
          <w:tcPr>
            <w:tcW w:w="60" w:type="dxa"/>
            <w:vAlign w:val="bottom"/>
            <w:gridSpan w:val="2"/>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1,101,627</w:t>
            </w:r>
          </w:p>
        </w:tc>
      </w:tr>
      <w:tr>
        <w:trPr>
          <w:trHeight w:val="229"/>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shell egg sales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285,702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286,970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569,158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543,747</w:t>
            </w:r>
          </w:p>
        </w:tc>
      </w:tr>
      <w:tr>
        <w:trPr>
          <w:trHeight w:val="230"/>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Prepared foods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10,439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19,377</w:t>
            </w:r>
          </w:p>
        </w:tc>
      </w:tr>
      <w:tr>
        <w:trPr>
          <w:trHeight w:val="230"/>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56,449</w:t>
            </w:r>
          </w:p>
        </w:tc>
      </w:tr>
      <w:tr>
        <w:trPr>
          <w:trHeight w:val="230"/>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10,159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19,342</w:t>
            </w:r>
          </w:p>
        </w:tc>
      </w:tr>
      <w:tr>
        <w:trPr>
          <w:trHeight w:val="236"/>
        </w:trPr>
        <w:tc>
          <w:tcPr>
            <w:tcW w:w="30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769,498</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954,671</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1,692,100</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1,740,542</w:t>
            </w:r>
          </w:p>
        </w:tc>
      </w:tr>
      <w:tr>
        <w:trPr>
          <w:trHeight w:val="20"/>
        </w:trPr>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disaggregated by sales channel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color w:val="auto"/>
              </w:rPr>
              <w:t>Thirteen Weeks Ended</w:t>
            </w: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jc w:val="right"/>
              <w:ind w:right="529"/>
              <w:spacing w:after="0"/>
              <w:rPr>
                <w:sz w:val="20"/>
                <w:szCs w:val="20"/>
                <w:color w:val="auto"/>
              </w:rPr>
            </w:pPr>
            <w:r>
              <w:rPr>
                <w:rFonts w:ascii="Times New Roman" w:cs="Times New Roman" w:eastAsia="Times New Roman" w:hAnsi="Times New Roman"/>
                <w:sz w:val="18"/>
                <w:szCs w:val="18"/>
                <w:color w:val="auto"/>
              </w:rPr>
              <w:t>Twenty-six Weeks Ended</w:t>
            </w:r>
          </w:p>
        </w:tc>
      </w:tr>
      <w:tr>
        <w:trPr>
          <w:trHeight w:val="263"/>
        </w:trPr>
        <w:tc>
          <w:tcPr>
            <w:tcW w:w="30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29, 2025</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November 29, 2025</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r>
      <w:tr>
        <w:trPr>
          <w:trHeight w:val="250"/>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625,363</w:t>
            </w:r>
          </w:p>
        </w:tc>
        <w:tc>
          <w:tcPr>
            <w:tcW w:w="60" w:type="dxa"/>
            <w:vAlign w:val="bottom"/>
            <w:gridSpan w:val="2"/>
            <w:shd w:val="clear" w:color="auto" w:fill="CCEEFF"/>
          </w:tcPr>
          <w:p>
            <w:pPr>
              <w:spacing w:after="0"/>
              <w:rPr>
                <w:sz w:val="21"/>
                <w:szCs w:val="21"/>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810,420</w:t>
            </w:r>
          </w:p>
        </w:tc>
        <w:tc>
          <w:tcPr>
            <w:tcW w:w="60" w:type="dxa"/>
            <w:vAlign w:val="bottom"/>
            <w:gridSpan w:val="2"/>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1,365,150</w:t>
            </w:r>
          </w:p>
        </w:tc>
        <w:tc>
          <w:tcPr>
            <w:tcW w:w="60" w:type="dxa"/>
            <w:vAlign w:val="bottom"/>
            <w:gridSpan w:val="2"/>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1,480,129</w:t>
            </w:r>
          </w:p>
        </w:tc>
      </w:tr>
      <w:tr>
        <w:trPr>
          <w:trHeight w:val="270"/>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Foodservice</w:t>
            </w:r>
          </w:p>
        </w:tc>
        <w:tc>
          <w:tcPr>
            <w:tcW w:w="180" w:type="dxa"/>
            <w:vAlign w:val="bottom"/>
          </w:tcPr>
          <w:p>
            <w:pPr>
              <w:spacing w:after="0"/>
              <w:rPr>
                <w:sz w:val="23"/>
                <w:szCs w:val="23"/>
                <w:color w:val="auto"/>
              </w:rPr>
            </w:pP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124,936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133,880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243,725</w:t>
            </w:r>
          </w:p>
        </w:tc>
      </w:tr>
      <w:tr>
        <w:trPr>
          <w:trHeight w:val="270"/>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10,371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16,688</w:t>
            </w:r>
          </w:p>
        </w:tc>
      </w:tr>
      <w:tr>
        <w:trPr>
          <w:trHeight w:val="277"/>
        </w:trPr>
        <w:tc>
          <w:tcPr>
            <w:tcW w:w="30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769,498</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954,671</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1,692,100</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1,740,542</w:t>
            </w:r>
          </w:p>
        </w:tc>
      </w:tr>
      <w:tr>
        <w:trPr>
          <w:trHeight w:val="20"/>
        </w:trPr>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Retail customers include primarily national and regional grocery store chains, club stores, and companies servicing independent supermarkets in the U.S. Foodservice customers include primarily companies that sell food products and related items to restaurants, convenience stores, healthcare and education facilities and hotels.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 re Shell Eggs Litigation</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Since November 6, 2025, the Company has been named as a defendant in eight lawsuits filed in federal court alleging substantially identical claims, including: (1) the following lawsuits in the Southern District of Indiana: (a) King Kullen Grocery Co., Inc. v. Cal-Maine Foods, Inc., et al., Case No. 1:25-cv-2274, (b) Nineteenseventynine LLC d/b/a The Breakfast Joynt v. Cal-Maine Foods, Inc., et al., Case No. 1:25-cv-2301, (c) Taylor Egg Products, Inc. v. Cal-Maine Foods, Inc., et al., Case No. 1:25-cv-2554, and (d) Hudson v. Cal-Maine Foods, Inc. et al., Case No. 1:25-cv-02573; (2) the following lawsuits in the Northern District of Illinois: (a) Birchmans Parisian, LLC (d/b/a Lisciandro's Restaurant) v. Cal-Maine Foods, Inc., et al., Case No. 1:25-cv-14030, (b) Phil-N-Cindy's Lunch, Inc. v. Cal-Maine Foods, Inc., et al., Case No. 1:25-cv-14082, (c) Yell-O-Glow</w:t>
      </w: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60"/>
          </w:cols>
          <w:pgMar w:left="1320" w:top="309" w:right="1319" w:bottom="1440" w:gutter="0" w:footer="0" w:header="0"/>
          <w:type w:val="continuous"/>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Corporation v. Cal-Maine Foods, Inc., et al., Case No. 1:25-cv-15084, and (d) Tariq Habash, Delia Govea, Andrew Phillips, and Catalina Torres v. Urner Barry Publications, Inc., Cal-Maine Foods, Inc., et al., Case No. 1:25-cv-14112; and (3) the following lawsuits in the Western District of Wisconsin: (a) Matthew Edlin v. Cal-Maine Foods, Inc., et al., Case No. 3:25-cv-946 and (b) India Price, Lakia Session, and Karen Solomon v. Cal-Maine Foods, Inc., et al., Case No. 3:25-cv-1016. The lawsuits generally allege that the Company, along with other egg producers and industry associations, conspired to artificially inflate the prices of conventional shell eggs nationwide, primarily through manipulation of industry price benchmarks (such as the Urner Barry Egg Index and Eggs Clearinghouse, Inc. spot market), coordinated reporting and supply restrictions, particularly during the calendar year 2022 avian flu outbreak. In each case, the plaintiff seeks certification of a putative class of either direct or indirect purchasers, monetary damages, injunctive relief, attorneys’ fees, and, in some cases, restitution under Section 1 of the Sherman Act, 15 U.S.C. § 1 (the “Sherman Act”) and various state antitrust and consumer protection statutes.</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November 19, 2025, a motion to transfer all cases to the Southern District of Indiana was filed with the Joint Panel on Multidistrict Litigation (“JPML”) to consolidate the actions for pre-trial proceedings. The defendants, including the Company, have responded to such motion also seeking consolidation in the Southern District of Indiana. The parties in each case have agreed to stay the deadline for the Company to answer or otherwise respond to the complaints pending JPML proceedings. No discovery has taken place in any of the actions. The Company disputes plaintiffs’ allegations in each of these actions and intends to vigorously defend itself in these 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Civil Investigative Demand</w:t>
      </w:r>
    </w:p>
    <w:p>
      <w:pPr>
        <w:spacing w:after="0" w:line="21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In March 2025, the Company received a Civil Investigative Demand (“CID”) from the Department of Justice (“DOJ”) in connection with an antitrust investigation to determine whether there is, has been or may be a violation of the antitrust laws by anticompetitive conduct by and among egg producers. In August 2025, the Company received a subpoena from the State of New York requesting information and documents related to its investigation of anticompetitive conduct and high egg prices in the egg industry. Additionally, various state Attorneys General have sought to join the DOJ’s investigation or have requested access to the confidential disclosures by the Company to DOJ. The Company is complying with the CID and the subpoena and cooperating with the investigations. Management cannot predict the eventual scope, duration or outcome of these investigations and is unable to estimate the amount or range of potential losses, if any,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Texas v. Cal-Maine Foods, Inc. d/b/a Wharton; and Wharton County Foods, LLC</w:t>
      </w:r>
    </w:p>
    <w:p>
      <w:pPr>
        <w:spacing w:after="0" w:line="20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On April 23, 2020, the Company and its subsidiary Wharton County Foods, LLC (“WCF”) were named as defendants in State of Texas v. Cal-Maine Foods, Inc. d/b/a Wharton; and Wharton County Foods, LLC, Cause No. 2020-25427, in the District Court of Harris County, Texas. The State of Texas (the “State”) asserted claims based on the Company’s and WCF’s alleged violation of the Texas Deceptive Trade Practices—Consumer Protection Act, Tex. Bus. &amp; Com. Code §§ 17.41-17.63 (“DTPA”). The State claimed that the Company and WCF offered shell eggs at excessive or exorbitant prices during the COVID-19 state of emergency and made misleading statements about shell egg prices. The State sought temporary and permanent injunctions against the Company and WCF to prevent further alleged violations of the DTPA, along with over $100,000 in damages. On August 13, 2020, the court granted the defendants’ motion to dismiss the State’s original petition with prejudice. On September 11, 2020, the State filed a notice of appeal, which was assigned to the Texas Court of Appeals for the First District. On August 16, 2022, the appeals court reversed and remanded the case back to the trial court for further proceedings. On October 31, 2022, the Company and WCF appealed the First District Court’s decision to the Supreme Court of Texas. On September 29, 2023, the Supreme Court of Texas denied the Company’s Petition for Review and remanded to the trial court for further proceedings. On November 30, 2024, the State filed an amended petition, primarily to address a procedural deficiency that required the State to generally plead it was seeking monetary relief over $ 1.0 million including restitution, civil penalties, attorney’s fees and costs. Pre-trial proceedings are progressing in accordance with the court’s schedule. Management believes the risk of material loss related to this matter to be remote.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Kraft Foods Global, Inc. et al. v. United Egg Producers, Inc. et al.</w:t>
      </w:r>
    </w:p>
    <w:p>
      <w:pPr>
        <w:spacing w:after="0" w:line="21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On September 25, 2008, the Company was named as one of several defendants in numerous antitrust cases involving the U.S. shell egg industry. The Company settled all of these cases, except for the claims of certain plaintiffs who sought substantial damages allegedly arising from the purchase of egg products (as opposed to shell eggs). These remaining plaintiffs are Kraft Food Global, Inc., General Mills, Inc., and Nestle USA, Inc. (the “Egg Products Plaintiffs”) and, until a subsequent settlement was reached as described below, The Kellogg Company.</w:t>
      </w:r>
    </w:p>
    <w:p>
      <w:pPr>
        <w:spacing w:after="0" w:line="17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On September 13, 2019, the case with the Egg Products Plaintiffs was remanded from a multi-district litigation proceeding in the United States District Court for the Eastern District of Pennsylvania, In re Processed Egg Products Antitrust Litigation, MDL No. 2002, to the United States District Court for the Northern District of Illinois, Kraft Foods Global, Inc. et al. v. United Egg Producers, Inc. et al., Case No. 1:11 -cv-8808, for trial. The Egg Products Plaintiffs alleged that the Company and other defendants violated Section 1 of the Sherman Act, 15. U.S.C. § 1, by agreeing to limit the production of eggs and thereby</w:t>
      </w:r>
    </w:p>
    <w:p>
      <w:pPr>
        <w:sectPr>
          <w:pgSz w:w="11900" w:h="16838" w:orient="portrait"/>
          <w:cols w:equalWidth="0" w:num="1">
            <w:col w:w="9280"/>
          </w:cols>
          <w:pgMar w:left="1320" w:top="309" w:right="1299" w:bottom="1440" w:gutter="0" w:footer="0" w:header="0"/>
        </w:sect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280"/>
          </w:cols>
          <w:pgMar w:left="1320" w:top="309" w:right="1299" w:bottom="1440" w:gutter="0" w:footer="0" w:header="0"/>
          <w:type w:val="continuous"/>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illegally to raise the prices that plaintiffs paid for processed egg products. In particular, the Egg Products Plaintiffs attacked certain features of the United Egg Producers animal-welfare guidelines and program used by the Company and many other egg producers.</w:t>
      </w:r>
    </w:p>
    <w:p>
      <w:pPr>
        <w:spacing w:after="0" w:line="15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On October 24, 2019, the Company entered into a confidential settlement agreement with The Kellogg Company dismissing all claims against the Company for an amount that did not have a material impact on the Company’s financial condition or results of operations. On November 11, 2019, a stipulation for dismissal was filed with the court, and on March 28, 2022, the court dismissed the Company with prejudice.</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trial of this case began on October 17, 2023. On December 1, 2023, the jury returned a decision awarding the Egg Products Plaintiffs $17.8 million in damages. On November 6, 2024, the court entered a final judgement against the Company and other defendants, jointly and severally, totaling $ 43.6 million after trebling. On December 4, 2024, the Company filed a renewed motion for judgment as a matter of law or for a new trial, and a motion to alter or amend the judgment. On December 13, 2024, the court granted defendants’ November 20, 2024 motion to stay enforcement of the judgment and entered an agreed order requiring the defendants to post security during post-judgment proceedings and appeal, and stayed proceedings to enforce the judgment until the disposition of the post-judgment motions and ultimate appeals. On December 17, 2024, the Company posted a bond in the approximate amount of $23.9 million, representing a portion of the total bond required to preserve the right to appeal the trial court’s decision. Another defendant posted a bond for the remaining amount. On November 19, 2025, the plaintiffs filed a motion to lift stay of proceedings on attorney’s fees and costs, and on December 5, 2025, the defendants filed their response in opposition to such motion. The court has not ruled on this motion. The Company intends to continue to vigorously defend the claims asserted by the Egg Products Plaintiffs.</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the jury’s decision is ultimately upheld, the Company would be jointly and severally liable with other defendants for treble damages, or $43.6 million, subject to credit for certain settlements with previous settling defendants, plus the Egg Product Plaintiffs’ reasonable attorneys’ fees. During our second fiscal quarter of 2024, we recorded an accrued expense of $ 19.6 million in selling, general and administrative expenses in the Company’s Condensed Consolidated Statements of Income and classified as other noncurrent liabilities in the Company’s Condensed Consolidated Balance Sheets. Although less than the bond posted by the Company, the accrual represents our estimate of the Company’s proportional share of the reasonably possible ultimate damages award, excluding the Egg Product Plaintiffs’ attorneys’ fees that we believe would be approximately offset by the credits noted above. We have entered into a judgment allocation and joint defense agreement with the other defendants remaining in the case. Our accrual may change in the future to the extent we are successful in further proceedings in the litigation.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Oklahoma Watershed Pollution Litigation</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18, 2005, the State of Oklahoma filed suit, in the United States District Court for the Northern District of Oklahoma, against Cal-Maine Foods, Inc. and Tyson Foods, Inc., Cobb-Vantress, Inc., Cargill, Inc., George’s, Inc., Peterson Farms, Inc. and Simmons Foods, Inc., and certain of their affiliates. The State of Oklahoma claims that through the disposal of chicken litter the defendants polluted the Illinois River Watershed. This watershed provides water to eastern Oklahoma. The complaint sought injunctive relief and monetary damages, but the claim for monetary damages was dismissed by the court. Cal-Maine Foods, Inc. discontinued operations in the watershed in or around 2005. Since the litigation began, Cal-Maine Foods, Inc. purchased 100% of the membership interests of Benton County Foods, LLC, which is an ongoing commercial shell egg operation within the Illinois River Watershed. Benton County Foods, LLC is not a defendant in the litigation. We also have a number of small contract producers that operate in the area.</w:t>
      </w:r>
    </w:p>
    <w:p>
      <w:pPr>
        <w:spacing w:after="0" w:line="187"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non-jury trial in the case began in September 2009 and concluded in February 2010. On January 18, 2023, the court entered findings of fact and conclusions of law in favor of the State of Oklahoma, but no penalties were assessed. The court found the defendants jointly and severally liable for state law nuisance, federal common law nuisance, and state law trespass. The court also found the producers vicariously liable for the actions of their contract producers. On June 12, 2023, the court ordered the parties to mediate, but the mediation was unsuccessful. On June 26, 2024, the district court denied defendants’ motion to dismiss the case. On September 13, 2024, a status hearing was held and the court scheduled an evidentiary hearing for December 3, 2024, to determine whether any legal remedy is available based on the now 15-year-old record and changed circumstances of the Illinois River watershed. On June 17, 2025, the court entered an opinion and order that found that the State satisfied its burden to show that conditions in the Illinois River watershed have not materially changed since the original trial and the case was not moot. On July 9, 2025, the State of Oklahoma filed its form of proposed final judgment and brief in support thereof seeking over $100 million in total fines from all defendants, including approximately $ 18.2 million in fines from the Company, plus attorneys’ fees. On July 30, 2025, the Company and other defendants filed their form of proposed final judgment and brief in support thereof seeking no monetary fines or penalties. On December 9, 2025, the court entered a final judgment imposing approximately $420,000 in total penalties for all defendants and awarding certain non-monetary remedies, including injunctive relief. Pursuant to the final judgment, the Company is to pay approximately $ 70,000 in penalties. The judgment also entitles the State of Oklahoma to an award of attorneys’ fees and costs in an amount to be determined at a later</w:t>
      </w:r>
    </w:p>
    <w:p>
      <w:pPr>
        <w:sectPr>
          <w:pgSz w:w="11900" w:h="16838" w:orient="portrait"/>
          <w:cols w:equalWidth="0" w:num="1">
            <w:col w:w="9280"/>
          </w:cols>
          <w:pgMar w:left="1320" w:top="309" w:right="1299" w:bottom="1440" w:gutter="0" w:footer="0" w:header="0"/>
        </w:sect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280"/>
          </w:cols>
          <w:pgMar w:left="1320" w:top="309" w:right="1299" w:bottom="1440" w:gutter="0" w:footer="0" w:header="0"/>
          <w:type w:val="continuous"/>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date. The defendants expect to appeal this judgement. No accrual for this legal proceeding has been recorded as such amount is not deemed material.</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injunctive relief provides for, among other things, a special master to oversee an investigation, develop a remediation plan subject to court approval, and provide ongoing monitoring of remediation projects, the costs of which will be paid jointly and severally by the defendants. The defendants are required to fund $10 million within 5 days of appointment of the special master, and ongoing funding requirements of $5 million any time the fund is below $5 million. This funding obligation is expected to continue for the 30 years term. The defendants are in discussions of a potential expense sharing agreement; however, the Company does not currently expect to have a material share of the funding. The injunctive relief also includes certain annual reporting requirements and certain requirements on future operations within the Illinois River Watershed, including relating to removal of litter, storage, transportation, disposal and future land applications. The Company is reviewing the final judgement and currently cannot estimate the range of possible losses, but currently does not expect these additional requirements to have a material impact on its operations.</w:t>
      </w:r>
    </w:p>
    <w:p>
      <w:pPr>
        <w:spacing w:after="0" w:line="18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On December 29, 2025, the defendants, including the Company, filed a motion to stay enforcement of the judgment, and a brief in support thereof, pending the defendants’ appeals to the United States Court of Appeal for the Tenth Circuit. The Company intends to continue to vigorously defend the claims asserted by the State of Oklahoma.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1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In addition to the above, the Company is involved in various other claims and litigation incidental to its business. Although the outcome of these matters cannot be determined with certainty, management, upon the advice of counsel, is of the opinion that the final outcome should not have a material effect on the Company’s consolidated results of operations or financial position.</w:t>
      </w: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260"/>
          </w:cols>
          <w:pgMar w:left="1320" w:top="309" w:right="1319" w:bottom="1440" w:gutter="0" w:footer="0" w:header="0"/>
          <w:type w:val="continuous"/>
        </w:sectPr>
      </w:pPr>
    </w:p>
    <w:bookmarkStart w:id="19" w:name="page20"/>
    <w:bookmarkEnd w:id="19"/>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following should be read in conjunction with Management’s Discussion and Analysis of Financial Condition and Results of Operations included in Part II Item 7 of the Company’s Annual Report on Form 10-K for its fiscal year ended May 31, 2025 (the “2025 Annual Report”), and the accompanying financial statements and notes included in Part II Item 8 of the 2025 Annual Report and in </w:t>
      </w:r>
      <w:r>
        <w:rPr>
          <w:rFonts w:ascii="Times New Roman" w:cs="Times New Roman" w:eastAsia="Times New Roman" w:hAnsi="Times New Roman"/>
          <w:sz w:val="18"/>
          <w:szCs w:val="18"/>
          <w:u w:val="single" w:color="auto"/>
          <w:color w:val="0000FF"/>
        </w:rPr>
        <w:t>Part I Item 1</w:t>
      </w:r>
      <w:r>
        <w:rPr>
          <w:rFonts w:ascii="Times New Roman" w:cs="Times New Roman" w:eastAsia="Times New Roman" w:hAnsi="Times New Roman"/>
          <w:sz w:val="18"/>
          <w:szCs w:val="18"/>
          <w:color w:val="auto"/>
        </w:rPr>
        <w:t xml:space="preserve"> of this Quarterly Report on Form 10-Q (“Quarterly Report”).</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Quarterly Report contains numerous forward-looking statements within the meaning of Section 27A of the Securities Act of 1933 (the “Securities Act”) and Section 21E of the Securities Exchange Act of 1934 (the “Exchange Act”) relating to our business, including potential future supply of and demand for our products, potential future corn and soybean price trends, potential future impact on our business of the resurgence in United States (“U.S.”) commercial table egg layer flocks of highly pathogenic avian influenza (“HPAI”), estimated future production data, expected construction schedules, projected construction costs, potential future impact on our business of inflation and changing interest rates, potential future impact on our business of new legislation, rules or policies, potential outcomes of legal proceedings, including loss contingency accruals and factors that may result in changes in the amounts recorded, other projected operating data, including anticipated results of operations and financial condition, and potential future cash returns to stockholders including the timing and amount of any repurchases under our share repurchase program. Such forward-looking statements are identified by the use of words such as “believes,” “intends,” “expects,” “hopes,” “may,” “should,” “plans,” “projected,” “contemplates,” “anticipates,” or similar words. Actual outcomes or results could differ materially from those projected in the forward-looking statements. The forward-looking statements are based on management’s current intent, belief, expectations, estimates, and projections regarding the Company and its industry. These statements are not guarantees of future performance and involve risks, uncertainties, assumptions, and other factors that are difficult to predict and may be beyond our control. The factors that could cause actual results to differ materially from those projected in the forward-looking statements include, among others, (i) the risk factors set forth in Part I Item 1A Risk Factors of our 2025 Annual Report, as updated in Part II Item 1A of this Quarterly Report, as well as those included in other reports we file from time to time with the United States Securities and Exchange Commission (“SEC”) (including our Quarterly Reports on Form 10-Q and Current Reports on Form 8-K), (ii) the risks and hazards inherent in the shell egg, egg products and prepared foods operations (including, as applicable, disease, pests, weather conditions, and potential for product recall), including but not limited to the current outbreak of HPAI affecting poultry in the U.S., Canada and other countries that was first detected in commercial flocks in the U.S. in November 2023 and that first impacted our flocks in December 2023, (iii) changes in the demand for and market prices of shell eggs and feed costs as well as increase in input costs for prepared foods, (iv) our ability to predict and meet demand for cage-free and other specialty eggs, (v) risks, changes, or obligations that could result from our recent or future acquisition of new flocks or businesses, such as our acquisition of Echo Lake Foods completed June 2, 2025, and risks or changes that may cause conditions to completing a pending acquisition not to be met, (vi) our ability to successfully integrate and manage recently acquired businesses like Echo Lake Foods and realize the expected benefits of such acquisitions, including synergies, cost savings, reduction in earnings volatility, margin expansion, financial returns, expanded customer relationships, or sales or growth opportunities, (vii) our ability to compete effectively with existing competitors and new market entrants, retain existing customers, acquire new customers and grow our product mix including our prepared foods product offerings, (viii) the impacts and potential future impacts of government, customer and consumer reactions to recent high market prices for eggs, (ix) potential impacts to our business as a result of our Company ceasing to be a “controlled company” under the rules of The Nasdaq Stock Market on April 14, 2025, (x) risks relating to potential changes in inflation, interest rates and trade and tariff policies, (xi) adverse results in pending litigation and other legal matters, and (xii) global instability, including as a result of the war in Ukraine, the conflicts involving Israel and Iran, and attacks on shipping in the Red Sea. The actual timing, number and value of shares repurchased under our share repurchase program will be determined by management in its discretion and will depend on a number of factors, including but not limited to, the market price of our Common Stock and general market and economic conditions. The share repurchase program may be suspended, modified or discontinued at any time without prior notice. Readers are cautioned not to place undue reliance on forward-looking statements because, while we believe the assumptions on which the forward-looking statements are based are reasonable, there can be no assurance that these forward-looking statements will prove to be accurate. Further, forward-looking statements included herein are made only as of the respective dates thereof, or if no date is stated, as of the date hereof. Except as otherwise required by law, we disclaim any intent or obligation to update publicly these forward-looking statements, whether because of new information, future events, or otherwise.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OVERVIEW</w:t>
      </w:r>
    </w:p>
    <w:p>
      <w:pPr>
        <w:spacing w:after="0" w:line="225"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Cal-Maine Foods, Inc. (“Cal-Maine Foods,” the “Company,” “we,” “us,” “our”) is the largest egg company in the U.S. and a leading player in the egg-based food industry. With a strong national footprint, Cal-Maine Foods provides nutritious, affordable, and sustainable protein to millions of households every day.</w:t>
      </w:r>
    </w:p>
    <w:p>
      <w:pPr>
        <w:sectPr>
          <w:pgSz w:w="11900" w:h="16838" w:orient="portrait"/>
          <w:cols w:equalWidth="0" w:num="1">
            <w:col w:w="9300"/>
          </w:cols>
          <w:pgMar w:left="1320" w:top="309" w:right="12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300"/>
          </w:cols>
          <w:pgMar w:left="1320" w:top="309" w:right="1279" w:bottom="1440" w:gutter="0" w:footer="0" w:header="0"/>
          <w:type w:val="continuous"/>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Company’s shell egg portfolio spans the full egg value ladder—from conventional to specialty, including cage-free, organic, brown, free-range, pasture-raised, and nutritionally enhanced eggs—serving both retail and foodservice customers nationwide. Cal-Maine Foods also participates in the growing prepared foods sector, with offerings such as pre-cooked egg patties, omelets, folded and scrambled egg formats, hard-cooked eggs, pancakes, waffles, and specialty wraps. Our branded portfolio includes Eggland’s Best®, Land O’Lakes®, Farmhouse Eggs®, 4Grain®, Sunups®, MeadowCreek Foods®, and Crepini®.</w:t>
      </w:r>
    </w:p>
    <w:p>
      <w:pPr>
        <w:spacing w:after="0" w:line="18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Our operations are integrated, and we have one operating and reportable segment. Our total flock as of November 29, 2025, of approximately 49.3 million layers and 11.4 million pullets and breeders is the largest in the U.S. We sell our products to a diverse group of customers, including national and regional grocery store chains, club stores, companies servicing independent supermarkets in the U.S., and foodservice distributors serving restaurants, convenience stores, healthcare and education facilities and hotels throughout the majority of the U.S. and aim to maintain efficient, state-of-the-art operations located close to our customers.</w:t>
      </w:r>
    </w:p>
    <w:p>
      <w:pPr>
        <w:spacing w:after="0" w:line="176"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color w:val="auto"/>
        </w:rPr>
        <w:t>Our strategy includes three primary priorities: expanding specialty eggs and prepared foods, pursuing disciplined growth through acquisitions and leveraging our scale, vertical integration, operational excellence and financial strength.</w:t>
      </w:r>
    </w:p>
    <w:p>
      <w:pPr>
        <w:spacing w:after="0" w:line="16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Our operating results are materially impacted by market prices for eggs and feed grains (corn and soybean meal), which are highly volatile, independent of each other, and out of our control. Generally, higher market prices for eggs have a positive impact on our financial results while higher market prices for feed grains have a negative impact on our financial results. Our pricing for shell eggs is negotiated with our customers on individual terms. We sell our shell eggs at prices based on formulas that take into account, in varying ways, independently quoted regional wholesale market prices for shell eggs, formulas related to our costs of production, such as grain-based and variations of cost-plus arrangements, or hybrid models including cost of production and wholesale market prices.</w:t>
      </w:r>
    </w:p>
    <w:p>
      <w:pPr>
        <w:spacing w:after="0" w:line="192"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Almost all of our conventional eggs are priced and sold under frameworks that generally utilize market-based formulas tied to independently quoted regional wholesale market quotes or utilize the hybrid models described above. The majority of our specialty eggs are sold under frameworks that do not utilize market-based formulas and instead are based on cost of production, although we do have some customers that prefer market-based pricing for cage-free eggs. As a result, specialty egg prices typically do not fluctuate as much as conventional pricing. We do not sell eggs directly to consumers or set the prices at which eggs are sold to consumers.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Retail sales of shell eggs historically have been highest during the fall and winter months and lowest during the summer months. Prices for shell eggs fluctuate in response to seasonal demand factors and a natural increase in egg production during the spring and early summer. Historically, shell egg prices tend to increase with the start of the school year and tend to be highest prior to holiday periods, particularly Thanksgiving, Christmas and Easter. Consequently, and all other things being equal, we would expect to experience lower selling prices, sales volumes and net income (and may incur net losses) in our first and fourth fiscal quarters ending in August/September and May/June, respectively. Because of the seasonal and quarterly fluctuations, comparisons of our sales and operating results between different quarters within a single fiscal year are not necessarily meaningful comparisons.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routinely fill our storage bins during harvest season when prices for feed ingredients are generally lower. To ensure continued availability of feed ingredients, we may enter into contracts for future purchases of corn and soybean meal, and as part of these contracts, we may lock-in the basis portion of our grain purchases several months in advance. Basis is the difference between the local cash price for grain and the applicable futures price. A basis contract is a common transaction in the grain market that allows us to lock-in a basis level for a specific delivery period and wait to set the futures price at a later date. Furthermore, due to the more limited supply for organic ingredients, we may commit to purchase organic ingredients in advance to help ensure supply. Ordinarily, we do not enter into long-term contracts beyond a year to purchase corn and soybean meal or hedge against increases in the prices of corn and soybean meal. Corn and soybean meal are commodities and are subject to volatile price changes due to weather, various supply and demand factors, transportation and storage costs, speculators, agricultural, energy and trade policies in the U.S. and internationally, and global instability that could disrupt the supply chain.</w:t>
      </w:r>
    </w:p>
    <w:p>
      <w:pPr>
        <w:spacing w:after="0" w:line="395"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An important competitive advantage for Cal-Maine Foods is our ability to meet our customers’ evolving needs with a favorable mix of branded and private-label products of conventional and specialty eggs, including cage-free, organic, brown, free-range, pasture-raised and nutritionally-enhanced eggs as well as prepared foods and egg products.</w:t>
      </w:r>
    </w:p>
    <w:p>
      <w:pPr>
        <w:sectPr>
          <w:pgSz w:w="11900" w:h="16838" w:orient="portrait"/>
          <w:cols w:equalWidth="0" w:num="1">
            <w:col w:w="9280"/>
          </w:cols>
          <w:pgMar w:left="1320" w:top="309"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280"/>
          </w:cols>
          <w:pgMar w:left="1320" w:top="309" w:right="1299" w:bottom="1440" w:gutter="0" w:footer="0" w:header="0"/>
          <w:type w:val="continuous"/>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HPAI</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Outbreaks of HPAI have continued to occur in U.S. poultry flocks. From the HPAI outbreaks in 2015, there were no reported significant outbreaks of HPAI in the commercial table egg layer flocks until the February to December 2022 time period. Thereafter, there were no HPAI cases affecting commercial layers until November 2023. In calendar year 2024 and 2025, 40.2 million and 45.1 million commercial layer hens and pullets were depopulated due to HPAI, respectively. The United States Department of Agriculture (the “USDA”) reported that the estimated table-egg layer flock as of December 1, 2025 was approximately 302.8 million, compared to 312.3 million, 319.9 million, 317.7 million and 331.4 million as of December 1, 2024, 2023, 2022 and 2021, respectively.</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HPAI is currently widespread in the wild bird population worldwide. Further, according to the U.S. Centers for Disease Control and Prevention (“CDC”), as of December 12, 2025, there were outbreaks in 1,083 herds of dairy cows in 18 states, and 71 human cases in the U.S., almost entirely among poultry and dairy workers. Two of the human cases resulted in severe illness after the patient was exposed to sick and dead birds in backyard flocks. Both patients were reported to have underlying health conditions and died in 2025. There have been no reported cases of person-to-person spread. According to the CDC, the human health risk to the U.S. public from the HPAI virus is considered to be low. We remain dedicated to robust biosecurity programs across our locations and have invested more than $83 million in biosecurity technology, equipment, supplies, procedures, and training across our locations since the last major HPAI outbreak in 2015. However, no farm is immune from HPAI. For example, during the third and fourth quarters of fiscal 2024, we experienced HPAI outbreaks within our facilities located in Kansas and Texas, which have been fully operational since fiscal 2025. The extent of possible future outbreaks among U.S. commercial egg layer flocks, with heightened risk during migration seasons, cannot be predicted. According to the USDA, HPAI cannot be transmitted through safely handled and properly cooked eggs. There is no known risk related to HPAI associated with eggs that are currently in the market and no eggs have been recalled. For additional information, see the 2025 Annual Report, Part II Item 7 “Management’s Discussion and Analysis of Financial Condition and Results of Operations – HPAI.”</w:t>
      </w:r>
    </w:p>
    <w:p>
      <w:pPr>
        <w:spacing w:after="0" w:line="19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We have taken proactive steps to help mitigate the tight egg supply situation across the country. Our efforts resulted in a 2.6% and 12.7% increase in our average number of layer hens and breeder flocks, respectively, during the second quarter of fiscal 2026 compared to the same prior-year period. Total chicks hatched increased 65.1% during the second quarter of fiscal 2026, compared to the prior-year quarter. We also continue to invest in expansion projects within our current operations that are expected to add approximately 1.1 million cage-free layer hens and 250,000 pullets in fiscal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CAGE-FREE EGGS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Ten states have passed legislation or regulations mandating minimum space or cage-free requirements for egg production or mandated the sale of only cage-free eggs and egg products in their states, with implementation of these laws ranging from January 2022 to January 2030. These states represent approximately 27% of the U.S. total population according to the 2020 U.S. Census. California, Massachusetts, Colorado, Michigan, Oregon, Washington, and Nevada, which collectively represent approximately 23% of the total estimated U.S. population, have cage-free legislation currently in effect.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significant number of our customers have announced goals to either exclusively offer cage-free eggs or significantly increase the volume of cage-free egg sales in the future, subject in most cases to availability of supply, affordability and consumer demand, among other contingencies. Our customers sell initiatives and product mix are constantly changing making it difficult to accurately predict customer requirements for cage-free eggs. We are focused on adjusting our cage-free production capacity with a goal of meeting the future needs of our customers in light of changing state requirements and our customers’ goals. As always, we strive to offer a product mix that aligns with current and anticipated customer purchase decisions. We are engaging with our customers to help them meet their announced goals and needs. We have invested significant capital in recent years to acquire and construct cage-free facilities, and we expect our focus for future expansion will continue to include cage-free facilities. Our volume of cage-free egg sales has continued to increase and account for a larger share of our product mix. In the second quarter of fiscal year 2026, cage-free egg revenue represented approximately 33.3% of our total shell egg revenue, compared to 23.4% in the second quarter of fiscal year 2025. At the same time, we understand the importance of our continued ability to provide conventional eggs in order to provide our customers with a variety of egg choices and to address hunger in our communities.</w:t>
      </w:r>
    </w:p>
    <w:p>
      <w:pPr>
        <w:spacing w:after="0" w:line="19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For additional information, see the 2025 Annual Report, Part I Item 1, “Business – Specialty Eggs,” “Business – Growth Strategy” and “Business – Government Regulation,” and the first risk factor in Part I Item 1A, “Risk Factors” under the sub-heading “Legal and Regulatory Risk Factors.”</w:t>
      </w: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260"/>
          </w:cols>
          <w:pgMar w:left="1320" w:top="309" w:right="1319" w:bottom="1440" w:gutter="0" w:footer="0" w:header="0"/>
          <w:type w:val="continuous"/>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21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Effective October 10, 2025, the Company acquired certain assets of Clean Egg, LLC (“Clean Egg”) based in Langwood, Texas, for approximately $23.7 million. The assets acquired included 677 thousand brown cage-free and free-range layers and pullets and other inventory, machinery and equipment related to its processing facility and contract production. See further discussion in </w:t>
      </w:r>
      <w:r>
        <w:rPr>
          <w:rFonts w:ascii="Times New Roman" w:cs="Times New Roman" w:eastAsia="Times New Roman" w:hAnsi="Times New Roman"/>
          <w:sz w:val="18"/>
          <w:szCs w:val="18"/>
          <w:u w:val="single" w:color="auto"/>
          <w:color w:val="0000FF"/>
        </w:rPr>
        <w:t>Note 2 – Acquisitions</w:t>
      </w:r>
      <w:r>
        <w:rPr>
          <w:rFonts w:ascii="Times New Roman" w:cs="Times New Roman" w:eastAsia="Times New Roman" w:hAnsi="Times New Roman"/>
          <w:sz w:val="18"/>
          <w:szCs w:val="18"/>
          <w:color w:val="auto"/>
        </w:rPr>
        <w:t xml:space="preserve"> of the Notes to Condensed Consolidated Financial Statements included in this Quarterly Report.</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Effective June 2, 2025, the Company acquired Echo Lake Foods, LLC (formerly Echo Lake Foods, Inc.) and certain related companies (collectively “Echo Lake Foods”). Echo Lake Foods is based in Burlington, Wisconsin and produces, packages, markets and distributes prepared foods, including waffles, pancakes, scrambled eggs, frozen cooked omelets, egg patties, toast and diced eggs. The acquisition has expanded our prepared foods product line and customer base. See further discussion in </w:t>
      </w:r>
      <w:r>
        <w:rPr>
          <w:rFonts w:ascii="Times New Roman" w:cs="Times New Roman" w:eastAsia="Times New Roman" w:hAnsi="Times New Roman"/>
          <w:sz w:val="18"/>
          <w:szCs w:val="18"/>
          <w:u w:val="single" w:color="auto"/>
          <w:color w:val="0000FF"/>
        </w:rPr>
        <w:t>Note 2 – Acquisitions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included in this Quarterly Report. Our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previously announced projects to increase efficiency and expand production capacity are ongoing and expected to be completed in fiscal 2027. While these initiatives are underway and are expected to drive higher output, improve efficiency and provide greater operational flexibility once complete, Echo Lake Foods has and will experience a temporary reduction in production volumes and higher costs, which began late in the second quarter of fiscal 2026 and are expected to continue through the remainder of fiscal 2026.</w:t>
      </w:r>
    </w:p>
    <w:p>
      <w:pPr>
        <w:spacing w:after="0" w:line="16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During the third quarter of fiscal 2025, we acquired certain assets of Deal-Rite Foods, Inc. and certain of its affiliates (“Deal-Rite”). The assets acquired included two feed mills, storage facilities, usable grain, vehicles, related equipment and a retail feed sales business located in North Carolina. The acquired assets will produce and deliver feed to our nearby shell egg production operations.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During the second quarter of fiscal 2025, we completed a strategic investment with Crepini LLC, establishing a new egg products and prepared foods venture. Crepini LLC, founded in 2007, grew its brand throughout the U.S. and Mexico featuring egg wraps, protein pancakes, crepes, and wrap-ups, which are sold online and in over 3,500 retail stores. The new entity, located in Hopewell Junction, New York, operates as Crepini Foods LLC (“Crepini”). We capitalized Crepini with approximately $6.75 million in cash to purchase additional equipment and other assets and fund working capital in exchange for a 51% interest in the new venture. Crepini LLC contributed its existing assets and business in exchange for a 49% interest in the new venture.</w:t>
      </w:r>
    </w:p>
    <w:p>
      <w:pPr>
        <w:spacing w:after="0" w:line="39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In fiscal 2022, we announced a strategic investment in a new entity, MeadowCreek Food, LLC (“MeadowCreek”), which became a majority-owned subsidiary of the Company. During the fourth quarter of fiscal 2023, MeadowCreek began operations with a focus on being a leading provider of hard-cooked eggs. During the second quarter of fiscal 2025, we acquired the remaining ownership interests in MeadowCreek and it became a wholly-owned subsidiary of the Company.</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first quarter of fiscal 2025, we acquired substantially all the commercial shell egg production, processing and egg products breaking assets of ISE America, Inc. and certain of its affiliates (“ISE”). The assets acquired included commercial shell egg production and processing facilities with a capacity at the time of acquisition of approximately 4.7 million laying hens, including 1.0 million cage-free, and 1.2 million pullets, feed mills, approximately 4,000 acres of land, inventories and an egg products breaking facility. The acquired assets also include an extensive customer distribution network across the Northeast and Mid-Atlantic states, and production operations in Maryland, New Jersey, Delaware and South Carolina. These production assets are our first in Maryland, New Jersey and Delaware. We believe this acquisition provides us with an opportunity to significantly enhance our market reach in the Northeast and Mid-Atlantic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OVERVIEW</w:t>
      </w:r>
    </w:p>
    <w:p>
      <w:pPr>
        <w:spacing w:after="0" w:line="22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For the second quarter and the first twenty-six weeks of fiscal 2026, we recorded a gross profit of $207.4 million and $518.7 million, respectively, compared to $356.0 million and $603.3 million, respectively, for the same periods of fiscal 2025, primarily driven by a decrease in the net average selling price of shell eggs, particularly conventional eggs.</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net average selling price per dozen for shell eggs for the second quarter of fiscal 2026 declined 26.5% to $2.014 from $2.740 in the prior-year period. Average conventional egg prices per dozen declined 38.8% to $1.802 from $2.943 in the prior-year period. Average specialty egg prices per dozen declined 0.8% to $2.369 from $2.387 in the prior-year period. Our dozens sold for the second quarter of fiscal 2026 decreased 2.2% compared to the second quarter of fiscal 2025.</w:t>
      </w:r>
    </w:p>
    <w:p>
      <w:pPr>
        <w:spacing w:after="0" w:line="187" w:lineRule="exact"/>
        <w:rPr>
          <w:sz w:val="20"/>
          <w:szCs w:val="20"/>
          <w:color w:val="auto"/>
        </w:rPr>
      </w:pPr>
    </w:p>
    <w:p>
      <w:pPr>
        <w:jc w:val="both"/>
        <w:ind w:firstLine="40"/>
        <w:spacing w:after="0" w:line="256" w:lineRule="auto"/>
        <w:rPr>
          <w:sz w:val="20"/>
          <w:szCs w:val="20"/>
          <w:color w:val="auto"/>
        </w:rPr>
      </w:pPr>
      <w:r>
        <w:rPr>
          <w:rFonts w:ascii="Times New Roman" w:cs="Times New Roman" w:eastAsia="Times New Roman" w:hAnsi="Times New Roman"/>
          <w:sz w:val="18"/>
          <w:szCs w:val="18"/>
          <w:color w:val="auto"/>
        </w:rPr>
        <w:t>Wholesale shell egg prices are volatile, cyclical, and impacted by a number of factors, including consumer demand, seasonal fluctuations, the number and productivity of laying hens in the U.S., outbreaks of agricultural diseases such as HPAI, severe weather patterns and retailers go-to-market strategies and how they manage their inventories. We believe the recent decline in wholesale egg prices primarily reflects improved egg supply and more normalized demand patterns, following disruptions</w:t>
      </w: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260"/>
          </w:cols>
          <w:pgMar w:left="1320" w:top="309" w:right="131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associated with HPAI in the prior year. Compared to the same period last year, panic-driven purchasing activity appears to have subsided, and improved pipeline availability relative to the prior-year period appears to have reduced the need for accelerated purchasing or inventory builds by retailers and foodservice operators. As a result, wholesale prices have declined, while retail prices have adjusted more gradually.</w:t>
      </w:r>
    </w:p>
    <w:p>
      <w:pPr>
        <w:spacing w:after="0" w:line="38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The daily average price for the Urner Barry Southeast Large Index in the second quarter of fiscal 2026 fell 38.3%, while the USDA daily average price for large shell eggs dropped 40.8% compared to the same period last year.</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Following the end of the quarter, the Urner Barry Southeast Large Index continued to decline, falling from $2.69 on November 28, 2025, to $1.21 on December 30, 2025, a decrease of 55.0%.</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USDA, the monthly average size of the layer hen flock from September through November 2025 (which most closely aligns with our second fiscal quarter) was approximately 303.6 million hens, a decrease of 5.5 million hens, or 1.8%, compared to the same period in the previous year. During the second quarter of fiscal 2026, 2.7 million hens were depopulated due to HPAI, compared with 7.4 million during the same period of fiscal 2025, representing a 63.5% reduction in depopulations.</w:t>
      </w:r>
    </w:p>
    <w:p>
      <w:pPr>
        <w:spacing w:after="0" w:line="17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For more information about historical shell egg prices, see Part I, Item 1. “Business – Price for Shell Eggs” of our 2025 Annual Report.</w:t>
      </w:r>
    </w:p>
    <w:p>
      <w:pPr>
        <w:spacing w:after="0" w:line="14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Prepared food sales for the second quarter of fiscal 2026 increased $61.2 million, compared to the second fiscal quarter of fiscal 2025, primarily due to our acquisition of Echo Lake Foods in the first quarter of fiscal 2026. See above for discussion of temporary reduction in production volumes which contributed to the $22.7 million decrease in prepared foods sales, compared to first fiscal quarter of 2026.</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farm production costs per dozen produced for the second quarter of fiscal 2026 increased 2.8%, or $0.03 compared to the prior year period, primarily due to higher other farm production costs. Other farm production costs increased 7.4% primarily due to high facility costs compared to the comparable period in the prior year. Feed costs per dozen produced decreased 1.2%, or $0.01 in the second quarter of fiscal 2026, compared to the second quarter of fiscal 2025, primarily due to lower feed ingredient prices. For information about historical corn and soybean meal prices, see Part I, Item 1. “Business – Feed Costs for Shell Egg Production” of our 2025 Annual Report. Our prepared foods cost of sales increased $46.0 million for the second quarter of fiscal 2026 compared to the prior-year period, primarily due to the acquisition of Echo Lake Foods.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from our Condensed Consolidated Statements of Income expressed as a percentage of net sales.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2800" w:type="dxa"/>
            <w:vAlign w:val="bottom"/>
            <w:tcBorders>
              <w:bottom w:val="single" w:sz="8" w:color="auto"/>
            </w:tcBorders>
            <w:gridSpan w:val="5"/>
          </w:tcPr>
          <w:p>
            <w:pPr>
              <w:jc w:val="right"/>
              <w:ind w:right="409"/>
              <w:spacing w:after="0"/>
              <w:rPr>
                <w:sz w:val="20"/>
                <w:szCs w:val="20"/>
                <w:color w:val="auto"/>
              </w:rPr>
            </w:pPr>
            <w:r>
              <w:rPr>
                <w:rFonts w:ascii="Times New Roman" w:cs="Times New Roman" w:eastAsia="Times New Roman" w:hAnsi="Times New Roman"/>
                <w:sz w:val="18"/>
                <w:szCs w:val="18"/>
                <w:color w:val="auto"/>
              </w:rPr>
              <w:t>Thirteen Weeks Ended</w:t>
            </w: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color w:val="auto"/>
              </w:rPr>
              <w:t>Twenty-six Weeks Ended</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32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November 29,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November 30,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November 29,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November 30,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2"/>
        </w:trPr>
        <w:tc>
          <w:tcPr>
            <w:tcW w:w="32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shd w:val="clear" w:color="auto" w:fill="CCEEFF"/>
          </w:tcPr>
          <w:p>
            <w:pPr>
              <w:jc w:val="right"/>
              <w:ind w:right="9"/>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ind w:right="9"/>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7"/>
                <w:szCs w:val="17"/>
                <w:color w:val="auto"/>
              </w:rPr>
            </w:pPr>
          </w:p>
        </w:tc>
      </w:tr>
      <w:tr>
        <w:trPr>
          <w:trHeight w:val="230"/>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9"/>
                <w:szCs w:val="19"/>
                <w:color w:val="auto"/>
              </w:rPr>
            </w:pP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involuntary conversions</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9"/>
                <w:szCs w:val="19"/>
                <w:color w:val="auto"/>
              </w:rPr>
            </w:pPr>
          </w:p>
        </w:tc>
      </w:tr>
      <w:tr>
        <w:trPr>
          <w:trHeight w:val="216"/>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8"/>
                <w:szCs w:val="18"/>
                <w:color w:val="auto"/>
              </w:rPr>
            </w:pPr>
          </w:p>
        </w:tc>
      </w:tr>
      <w:tr>
        <w:trPr>
          <w:trHeight w:val="230"/>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income, net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8"/>
                <w:szCs w:val="18"/>
                <w:color w:val="auto"/>
              </w:rPr>
            </w:pPr>
          </w:p>
        </w:tc>
      </w:tr>
      <w:tr>
        <w:trPr>
          <w:trHeight w:val="22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9"/>
                <w:szCs w:val="19"/>
                <w:color w:val="auto"/>
              </w:rPr>
            </w:pPr>
          </w:p>
        </w:tc>
      </w:tr>
      <w:tr>
        <w:trPr>
          <w:trHeight w:val="237"/>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Income (loss) attributable to</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44"/>
        </w:trPr>
        <w:tc>
          <w:tcPr>
            <w:tcW w:w="3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Cal-Maine</w:t>
            </w:r>
          </w:p>
        </w:tc>
        <w:tc>
          <w:tcPr>
            <w:tcW w:w="12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03"/>
        </w:trPr>
        <w:tc>
          <w:tcPr>
            <w:tcW w:w="32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Foods, Inc.</w:t>
            </w:r>
          </w:p>
        </w:tc>
        <w:tc>
          <w:tcPr>
            <w:tcW w:w="128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23.0</w:t>
            </w:r>
          </w:p>
        </w:tc>
        <w:tc>
          <w:tcPr>
            <w:tcW w:w="22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60"/>
          </w:cols>
          <w:pgMar w:left="1320" w:top="309" w:right="1319" w:bottom="1440" w:gutter="0" w:footer="0" w:header="0"/>
          <w:type w:val="continuous"/>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Total net sales for the second quarter of fiscal 2026 were $769.5 million , compared to $954.7 million for the same period of fiscal 2025.</w:t>
      </w:r>
    </w:p>
    <w:p>
      <w:pPr>
        <w:spacing w:after="0" w:line="17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Shell egg sales represented 84.4% and 94.6% of total net sales for the second quarters of fiscal 2026 and 2025, respectively. The Company’s shell egg offerings, for both branded and private-label products, include specialty and conventional shell eggs. Specialty shell eggs include cage-free, organic, brown, free-range, pasture-raised and nutritionally enhanced shell eggs. Conventional shell eggs sales represent all other shell egg sales not sold as specialty shell eggs. The Company’s prepared food offerings include items such as pre-cooked egg patties, omelets, folded and scrambled egg formats, hard-cooked eggs, pancakes, waffles, and specialty wraps. Egg product offerings include liquid and frozen egg products. Other sales represent feed sales, miscellaneous byproducts and resale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sales for both the twenty-six weeks ended November 29, 2025 and November 30, 2024 was $1.7 billion.</w:t>
      </w:r>
    </w:p>
    <w:p>
      <w:pPr>
        <w:spacing w:after="0" w:line="21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Shell egg sales represented 85.0% and 94.5% of total net sales for the twenty-six weeks ended November 29, 2025 and November 30, 2024,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net sales in key categories (in thousands, except percentage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jc w:val="right"/>
              <w:ind w:right="29"/>
              <w:spacing w:after="0"/>
              <w:rPr>
                <w:sz w:val="20"/>
                <w:szCs w:val="20"/>
                <w:color w:val="auto"/>
              </w:rPr>
            </w:pPr>
            <w:r>
              <w:rPr>
                <w:rFonts w:ascii="Times New Roman" w:cs="Times New Roman" w:eastAsia="Times New Roman" w:hAnsi="Times New Roman"/>
                <w:sz w:val="18"/>
                <w:szCs w:val="18"/>
                <w:color w:val="auto"/>
              </w:rPr>
              <w:t>Thirteen Weeks Ended</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10" w:type="dxa"/>
            <w:vAlign w:val="bottom"/>
            <w:tcBorders>
              <w:bottom w:val="single" w:sz="8" w:color="auto"/>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Twenty-six Weeks Ended</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29"/>
              <w:spacing w:after="0" w:line="190" w:lineRule="exact"/>
              <w:rPr>
                <w:sz w:val="20"/>
                <w:szCs w:val="20"/>
                <w:color w:val="auto"/>
              </w:rPr>
            </w:pPr>
            <w:r>
              <w:rPr>
                <w:rFonts w:ascii="Times New Roman" w:cs="Times New Roman" w:eastAsia="Times New Roman" w:hAnsi="Times New Roman"/>
                <w:sz w:val="18"/>
                <w:szCs w:val="18"/>
                <w:color w:val="auto"/>
              </w:rPr>
              <w:t>November 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10" w:type="dxa"/>
            <w:vAlign w:val="bottom"/>
          </w:tcPr>
          <w:p>
            <w:pPr>
              <w:spacing w:after="0"/>
              <w:rPr>
                <w:sz w:val="16"/>
                <w:szCs w:val="16"/>
                <w:color w:val="auto"/>
              </w:rPr>
            </w:pPr>
          </w:p>
        </w:tc>
        <w:tc>
          <w:tcPr>
            <w:tcW w:w="17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9"/>
              <w:spacing w:after="0" w:line="190" w:lineRule="exact"/>
              <w:rPr>
                <w:sz w:val="20"/>
                <w:szCs w:val="20"/>
                <w:color w:val="auto"/>
              </w:rPr>
            </w:pPr>
            <w:r>
              <w:rPr>
                <w:rFonts w:ascii="Times New Roman" w:cs="Times New Roman" w:eastAsia="Times New Roman" w:hAnsi="Times New Roman"/>
                <w:sz w:val="18"/>
                <w:szCs w:val="18"/>
                <w:color w:val="auto"/>
              </w:rPr>
              <w:t>November 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29, 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Change  November 29, 2025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69"/>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Change</w:t>
            </w:r>
          </w:p>
        </w:tc>
      </w:tr>
      <w:tr>
        <w:trPr>
          <w:trHeight w:val="203"/>
        </w:trPr>
        <w:tc>
          <w:tcPr>
            <w:tcW w:w="1360" w:type="dxa"/>
            <w:vAlign w:val="bottom"/>
            <w:tcBorders>
              <w:top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Shell Eggs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tcBorders>
              <w:top w:val="single" w:sz="8" w:color="auto"/>
            </w:tcBorders>
            <w:shd w:val="clear" w:color="auto" w:fill="CCEEFF"/>
          </w:tcPr>
          <w:p>
            <w:pPr>
              <w:jc w:val="right"/>
              <w:ind w:right="9"/>
              <w:spacing w:after="0" w:line="203" w:lineRule="exact"/>
              <w:rPr>
                <w:sz w:val="20"/>
                <w:szCs w:val="20"/>
                <w:color w:val="auto"/>
              </w:rPr>
            </w:pPr>
            <w:r>
              <w:rPr>
                <w:rFonts w:ascii="Times New Roman" w:cs="Times New Roman" w:eastAsia="Times New Roman" w:hAnsi="Times New Roman"/>
                <w:sz w:val="18"/>
                <w:szCs w:val="18"/>
                <w:color w:val="auto"/>
              </w:rPr>
              <w:t>649,567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903,861</w:t>
            </w: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10" w:type="dxa"/>
            <w:vAlign w:val="bottom"/>
            <w:tcBorders>
              <w:top w:val="single" w:sz="8" w:color="auto"/>
            </w:tcBorders>
            <w:shd w:val="clear" w:color="auto" w:fill="CCEEFF"/>
          </w:tcPr>
          <w:p>
            <w:pPr>
              <w:jc w:val="center"/>
              <w:ind w:left="79"/>
              <w:spacing w:after="0" w:line="203" w:lineRule="exact"/>
              <w:rPr>
                <w:sz w:val="20"/>
                <w:szCs w:val="20"/>
                <w:color w:val="auto"/>
              </w:rPr>
            </w:pPr>
            <w:r>
              <w:rPr>
                <w:rFonts w:ascii="Times New Roman" w:cs="Times New Roman" w:eastAsia="Times New Roman" w:hAnsi="Times New Roman"/>
                <w:sz w:val="18"/>
                <w:szCs w:val="18"/>
                <w:color w:val="auto"/>
              </w:rPr>
              <w:t>(28.1)</w:t>
            </w:r>
          </w:p>
        </w:tc>
        <w:tc>
          <w:tcPr>
            <w:tcW w:w="17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1,438,964</w:t>
            </w:r>
          </w:p>
        </w:tc>
        <w:tc>
          <w:tcPr>
            <w:tcW w:w="20" w:type="dxa"/>
            <w:vAlign w:val="bottom"/>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1,645,374</w:t>
            </w: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7"/>
                <w:szCs w:val="17"/>
                <w:color w:val="auto"/>
              </w:rPr>
            </w:pPr>
          </w:p>
        </w:tc>
      </w:tr>
      <w:tr>
        <w:trPr>
          <w:trHeight w:val="229"/>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Prepared foods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83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34,531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30,212</w:t>
            </w:r>
          </w:p>
        </w:tc>
        <w:tc>
          <w:tcPr>
            <w:tcW w:w="120" w:type="dxa"/>
            <w:vAlign w:val="bottom"/>
            <w:gridSpan w:val="2"/>
            <w:shd w:val="clear" w:color="auto" w:fill="CCEEFF"/>
          </w:tcPr>
          <w:p>
            <w:pPr>
              <w:spacing w:after="0"/>
              <w:rPr>
                <w:sz w:val="19"/>
                <w:szCs w:val="19"/>
                <w:color w:val="auto"/>
              </w:rPr>
            </w:pPr>
          </w:p>
        </w:tc>
        <w:tc>
          <w:tcPr>
            <w:tcW w:w="71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color w:val="auto"/>
                <w:w w:val="95"/>
              </w:rPr>
              <w:t>14.3</w:t>
            </w:r>
          </w:p>
        </w:tc>
        <w:tc>
          <w:tcPr>
            <w:tcW w:w="17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56,449</w:t>
            </w:r>
          </w:p>
        </w:tc>
        <w:tc>
          <w:tcPr>
            <w:tcW w:w="12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1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1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8"/>
                <w:szCs w:val="18"/>
                <w:color w:val="auto"/>
                <w:w w:val="95"/>
              </w:rPr>
              <w:t>35.3</w:t>
            </w:r>
          </w:p>
        </w:tc>
        <w:tc>
          <w:tcPr>
            <w:tcW w:w="17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20" w:type="dxa"/>
            <w:vAlign w:val="bottom"/>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19,342</w:t>
            </w:r>
          </w:p>
        </w:tc>
        <w:tc>
          <w:tcPr>
            <w:tcW w:w="80" w:type="dxa"/>
            <w:vAlign w:val="bottom"/>
            <w:tcBorders>
              <w:bottom w:val="single" w:sz="8" w:color="auto"/>
            </w:tcBorders>
          </w:tcPr>
          <w:p>
            <w:pPr>
              <w:spacing w:after="0"/>
              <w:rPr>
                <w:sz w:val="19"/>
                <w:szCs w:val="19"/>
                <w:color w:val="auto"/>
              </w:rPr>
            </w:pPr>
          </w:p>
        </w:tc>
        <w:tc>
          <w:tcPr>
            <w:tcW w:w="60" w:type="dxa"/>
            <w:vAlign w:val="bottom"/>
            <w:gridSpan w:val="2"/>
          </w:tcPr>
          <w:p>
            <w:pPr>
              <w:spacing w:after="0"/>
              <w:rPr>
                <w:sz w:val="19"/>
                <w:szCs w:val="19"/>
                <w:color w:val="auto"/>
              </w:rPr>
            </w:pPr>
          </w:p>
        </w:tc>
        <w:tc>
          <w:tcPr>
            <w:tcW w:w="6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769,498</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954,671</w:t>
            </w:r>
          </w:p>
        </w:tc>
        <w:tc>
          <w:tcPr>
            <w:tcW w:w="120" w:type="dxa"/>
            <w:vAlign w:val="bottom"/>
            <w:gridSpan w:val="2"/>
            <w:shd w:val="clear" w:color="auto" w:fill="CCEEFF"/>
          </w:tcPr>
          <w:p>
            <w:pPr>
              <w:spacing w:after="0"/>
              <w:rPr>
                <w:sz w:val="20"/>
                <w:szCs w:val="20"/>
                <w:color w:val="auto"/>
              </w:rPr>
            </w:pPr>
          </w:p>
        </w:tc>
        <w:tc>
          <w:tcPr>
            <w:tcW w:w="71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8"/>
                <w:szCs w:val="18"/>
                <w:color w:val="auto"/>
              </w:rPr>
              <w:t>(19.4)</w:t>
            </w: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1,692,100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1,740,542</w:t>
            </w:r>
          </w:p>
        </w:tc>
        <w:tc>
          <w:tcPr>
            <w:tcW w:w="120" w:type="dxa"/>
            <w:vAlign w:val="bottom"/>
            <w:gridSpan w:val="2"/>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20"/>
                <w:szCs w:val="20"/>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an analysis of our shell egg sales (in thousands, except percentage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8"/>
                <w:szCs w:val="18"/>
                <w:color w:val="auto"/>
              </w:rPr>
              <w:t>Thirteen Weeks Ended</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11"/>
          </w:tcPr>
          <w:p>
            <w:pPr>
              <w:ind w:left="760"/>
              <w:spacing w:after="0"/>
              <w:rPr>
                <w:sz w:val="20"/>
                <w:szCs w:val="20"/>
                <w:color w:val="auto"/>
              </w:rPr>
            </w:pPr>
            <w:r>
              <w:rPr>
                <w:rFonts w:ascii="Times New Roman" w:cs="Times New Roman" w:eastAsia="Times New Roman" w:hAnsi="Times New Roman"/>
                <w:sz w:val="18"/>
                <w:szCs w:val="18"/>
                <w:color w:val="auto"/>
              </w:rPr>
              <w:t>Twenty-six Weeks Ended</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6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November 29, 2025</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November 29, 2025</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23"/>
        </w:trPr>
        <w:tc>
          <w:tcPr>
            <w:tcW w:w="1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Shell egg sales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Conventional</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363,865</w:t>
            </w:r>
          </w:p>
        </w:tc>
        <w:tc>
          <w:tcPr>
            <w:tcW w:w="6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56.0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616,891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68.3</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869,806</w:t>
            </w:r>
          </w:p>
        </w:tc>
        <w:tc>
          <w:tcPr>
            <w:tcW w:w="40" w:type="dxa"/>
            <w:vAlign w:val="bottom"/>
          </w:tcPr>
          <w:p>
            <w:pPr>
              <w:spacing w:after="0"/>
              <w:rPr>
                <w:sz w:val="19"/>
                <w:szCs w:val="19"/>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60.4</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160" w:type="dxa"/>
            <w:vAlign w:val="bottom"/>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285,702</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286,970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569,158</w:t>
            </w:r>
          </w:p>
        </w:tc>
        <w:tc>
          <w:tcPr>
            <w:tcW w:w="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543,747</w:t>
            </w: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77"/>
        </w:trPr>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shell egg sales</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649,567</w:t>
            </w: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903,861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w w:val="98"/>
              </w:rPr>
              <w:t>100.0</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1,438,964</w:t>
            </w:r>
          </w:p>
        </w:tc>
        <w:tc>
          <w:tcPr>
            <w:tcW w:w="40" w:type="dxa"/>
            <w:vAlign w:val="bottom"/>
          </w:tcPr>
          <w:p>
            <w:pPr>
              <w:spacing w:after="0"/>
              <w:rPr>
                <w:sz w:val="24"/>
                <w:szCs w:val="24"/>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1,645,374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w w:val="98"/>
              </w:rPr>
              <w:t>100.0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Dozens sold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Conventional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201,963</w:t>
            </w:r>
          </w:p>
        </w:tc>
        <w:tc>
          <w:tcPr>
            <w:tcW w:w="120" w:type="dxa"/>
            <w:vAlign w:val="bottom"/>
            <w:gridSpan w:val="3"/>
            <w:shd w:val="clear" w:color="auto" w:fill="CCEEFF"/>
          </w:tcPr>
          <w:p>
            <w:pPr>
              <w:spacing w:after="0"/>
              <w:rPr>
                <w:sz w:val="19"/>
                <w:szCs w:val="19"/>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209,597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401,256</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409,586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r>
      <w:tr>
        <w:trPr>
          <w:trHeight w:val="230"/>
        </w:trPr>
        <w:tc>
          <w:tcPr>
            <w:tcW w:w="1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Specialty</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120,623</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120,247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238,917</w:t>
            </w: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230,237</w:t>
            </w: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1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dozens sold</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322,586</w:t>
            </w:r>
          </w:p>
        </w:tc>
        <w:tc>
          <w:tcPr>
            <w:tcW w:w="120" w:type="dxa"/>
            <w:vAlign w:val="bottom"/>
            <w:gridSpan w:val="3"/>
            <w:shd w:val="clear" w:color="auto" w:fill="CCEEFF"/>
          </w:tcPr>
          <w:p>
            <w:pPr>
              <w:spacing w:after="0"/>
              <w:rPr>
                <w:sz w:val="20"/>
                <w:szCs w:val="20"/>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u w:val="single" w:color="auto"/>
                <w:color w:val="auto"/>
                <w:shd w:val="clear" w:color="auto" w:fill="CCEEFF"/>
              </w:rPr>
              <w:t>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329,844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w w:val="98"/>
                <w:shd w:val="clear" w:color="auto" w:fill="CCEEFF"/>
              </w:rPr>
              <w:t>100.</w:t>
            </w:r>
            <w:r>
              <w:rPr>
                <w:rFonts w:ascii="Times New Roman" w:cs="Times New Roman" w:eastAsia="Times New Roman" w:hAnsi="Times New Roman"/>
                <w:sz w:val="18"/>
                <w:szCs w:val="18"/>
                <w:u w:val="single" w:color="auto"/>
                <w:color w:val="auto"/>
                <w:w w:val="98"/>
                <w:shd w:val="clear" w:color="auto" w:fill="CCEEFF"/>
              </w:rPr>
              <w:t>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640,173</w:t>
            </w: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u w:val="single" w:color="auto"/>
                <w:color w:val="auto"/>
                <w:shd w:val="clear" w:color="auto" w:fill="CCEEFF"/>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639,823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w w:val="98"/>
                <w:shd w:val="clear" w:color="auto" w:fill="CCEEFF"/>
              </w:rPr>
              <w:t>100.</w:t>
            </w:r>
            <w:r>
              <w:rPr>
                <w:rFonts w:ascii="Times New Roman" w:cs="Times New Roman" w:eastAsia="Times New Roman" w:hAnsi="Times New Roman"/>
                <w:sz w:val="18"/>
                <w:szCs w:val="18"/>
                <w:u w:val="single" w:color="auto"/>
                <w:color w:val="auto"/>
                <w:w w:val="98"/>
                <w:shd w:val="clear" w:color="auto" w:fill="CCEEFF"/>
              </w:rPr>
              <w:t>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20"/>
                <w:szCs w:val="20"/>
                <w:color w:val="auto"/>
              </w:rPr>
            </w:pPr>
          </w:p>
        </w:tc>
      </w:tr>
      <w:tr>
        <w:trPr>
          <w:trHeight w:val="20"/>
        </w:trPr>
        <w:tc>
          <w:tcPr>
            <w:tcW w:w="194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194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average selling price per dozen</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Conventional</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1.802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2.943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2.369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2.387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gridSpan w:val="4"/>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3"/>
        </w:trPr>
        <w:tc>
          <w:tcPr>
            <w:tcW w:w="16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shell eggs</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2.014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2.740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Shell egg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2026 vs. Fiscal 2025</w:t>
      </w:r>
    </w:p>
    <w:p>
      <w:pPr>
        <w:spacing w:after="0" w:line="212" w:lineRule="exact"/>
        <w:rPr>
          <w:sz w:val="20"/>
          <w:szCs w:val="20"/>
          <w:color w:val="auto"/>
        </w:rPr>
      </w:pPr>
    </w:p>
    <w:p>
      <w:pPr>
        <w:jc w:val="both"/>
        <w:ind w:left="660" w:right="40" w:hanging="329"/>
        <w:spacing w:after="0" w:line="25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2026, conventional egg sales decreased $253.0 million, or 41.0%, compared to the second quarter of fiscal 2025, primarily due to a 38.8% decrease in the prices for conventional eggs, which resulted in a $230.4 million decrease in net sales and a 3.6% decrease in the volume of conventional dozens sold, which resulted in a $19.9 million decrease in net sales.</w:t>
      </w:r>
    </w:p>
    <w:p>
      <w:pPr>
        <w:sectPr>
          <w:pgSz w:w="11900" w:h="16838" w:orient="portrait"/>
          <w:cols w:equalWidth="0" w:num="1">
            <w:col w:w="9280"/>
          </w:cols>
          <w:pgMar w:left="1320" w:top="309" w:right="129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280"/>
          </w:cols>
          <w:pgMar w:left="1320" w:top="309" w:right="1299" w:bottom="1440" w:gutter="0" w:footer="0" w:header="0"/>
          <w:type w:val="continuous"/>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left="660" w:right="20" w:hanging="329"/>
        <w:spacing w:after="0" w:line="25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sales decreased $1.3 million, or 0.4%, in the second quarter of fiscal 2026, compared to the second quarter of fiscal 2025, primarily due to a 0.8% decrease in prices for specialty eggs, which resulted in a $2.1 million decrease in net sales, offset by a 0.3% increase in the volume of specialty eggs sold, which resulted in $1.0 million increase in net sales.</w:t>
      </w:r>
    </w:p>
    <w:p>
      <w:pPr>
        <w:spacing w:after="0" w:line="200" w:lineRule="exact"/>
        <w:rPr>
          <w:rFonts w:ascii="Times New Roman" w:cs="Times New Roman" w:eastAsia="Times New Roman" w:hAnsi="Times New Roman"/>
          <w:sz w:val="18"/>
          <w:szCs w:val="18"/>
          <w:color w:val="auto"/>
        </w:rPr>
      </w:pPr>
    </w:p>
    <w:p>
      <w:pPr>
        <w:ind w:left="660" w:right="40" w:hanging="329"/>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“Executive Overview” above for additional discussion of factors impacting shell egg sales for the second quarters of fiscal 2026 and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2026 vs. Fiscal 2025</w:t>
      </w:r>
    </w:p>
    <w:p>
      <w:pPr>
        <w:spacing w:after="0" w:line="212" w:lineRule="exact"/>
        <w:rPr>
          <w:sz w:val="20"/>
          <w:szCs w:val="20"/>
          <w:color w:val="auto"/>
        </w:rPr>
      </w:pPr>
    </w:p>
    <w:p>
      <w:pPr>
        <w:jc w:val="both"/>
        <w:ind w:left="660" w:right="20" w:hanging="329"/>
        <w:spacing w:after="0" w:line="251"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twenty-six weeks ended November 29, 2025, conventional egg sales decreased $231.8 million, or 21.0%, compared to the same period of fiscal 2025, primarily due to a decrease in the prices for conventional shell eggs. Prices for conventional eggs decreased 19.4%, which resulted in a $209.5 million decrease in net sales, and a 2.0% decrease in the volume of conventional eggs sold resulted in a $22.4 million decrease in net sales.</w:t>
      </w:r>
    </w:p>
    <w:p>
      <w:pPr>
        <w:spacing w:after="0" w:line="173" w:lineRule="exact"/>
        <w:rPr>
          <w:rFonts w:ascii="Times New Roman" w:cs="Times New Roman" w:eastAsia="Times New Roman" w:hAnsi="Times New Roman"/>
          <w:sz w:val="18"/>
          <w:szCs w:val="18"/>
          <w:color w:val="auto"/>
        </w:rPr>
      </w:pPr>
    </w:p>
    <w:p>
      <w:pPr>
        <w:jc w:val="both"/>
        <w:ind w:left="660" w:right="20" w:hanging="329"/>
        <w:spacing w:after="0" w:line="251"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sales increased $25.4 million, or 4.7%, for the twenty-six weeks ended November 29, 2025 compared to the same period in fiscal 2025, primarily due to an increase in the volume of specialty eggs sold. The volume of specialty eggs sold increased 3.8%, which resulted in a $20.5 million increase in net sales, and the prices for specialty eggs increased 0.8%, which resulted in a $4.8 million increase in net sales.</w:t>
      </w:r>
    </w:p>
    <w:p>
      <w:pPr>
        <w:spacing w:after="0" w:line="174"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8"/>
          <w:szCs w:val="18"/>
          <w:color w:val="auto"/>
        </w:rPr>
        <w:t>During the first two quarters of fiscal 2026, a higher proportion of our conventional eggs were sold on a hybrid pricing model that takes into account both our cost of production as well as wholesale market prices, instead of solely market-based pricing, in response to customer demand. We believe the hybrid pricing arrangement may help some customers better plan and manage their businesses and reinforces our role as a trusted supplier. Although hybrid pricing may reduce our profitability when egg prices are high, compared to pure market-based pricing, it could enhance our profitability when egg prices are low, and lead to reduced volatility in our financial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Prepared foods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2026 vs. Fiscal 2025</w:t>
      </w:r>
    </w:p>
    <w:p>
      <w:pPr>
        <w:spacing w:after="0" w:line="212" w:lineRule="exact"/>
        <w:rPr>
          <w:sz w:val="20"/>
          <w:szCs w:val="20"/>
          <w:color w:val="auto"/>
        </w:rPr>
      </w:pPr>
    </w:p>
    <w:p>
      <w:pPr>
        <w:ind w:left="660" w:right="40" w:hanging="329"/>
        <w:spacing w:after="0" w:line="28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Echo Lake Foods positively impacted our net sales with an increase of $56.6 million in revenue, compared to the second quarter of fiscal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2026 vs. Fiscal 2025</w:t>
      </w:r>
    </w:p>
    <w:p>
      <w:pPr>
        <w:spacing w:after="0" w:line="212" w:lineRule="exact"/>
        <w:rPr>
          <w:sz w:val="20"/>
          <w:szCs w:val="20"/>
          <w:color w:val="auto"/>
        </w:rPr>
      </w:pPr>
    </w:p>
    <w:p>
      <w:pPr>
        <w:ind w:left="660" w:right="20" w:hanging="329"/>
        <w:spacing w:after="0" w:line="28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foods net sales increased $136.2 million, compared to fiscal 2025, primarily due to the additional $127.1 million in revenue from the acquisition of Echo Lake Foods in the first quarter of fiscal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products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2026 vs. Fiscal 2025</w:t>
      </w:r>
    </w:p>
    <w:p>
      <w:pPr>
        <w:spacing w:after="0" w:line="212" w:lineRule="exact"/>
        <w:rPr>
          <w:sz w:val="20"/>
          <w:szCs w:val="20"/>
          <w:color w:val="auto"/>
        </w:rPr>
      </w:pPr>
    </w:p>
    <w:p>
      <w:pPr>
        <w:jc w:val="both"/>
        <w:ind w:left="660" w:right="40" w:hanging="329"/>
        <w:spacing w:after="0" w:line="25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sales increased $4.3 million, or 14.3%, in the second quarter of fiscal 2026, compared to the second quarter of fiscal 2025, primarily due to a 10.1% increase in the net average selling price, resulting in a $3.0 million increase in net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2026 vs. Fiscal 2025</w:t>
      </w:r>
    </w:p>
    <w:p>
      <w:pPr>
        <w:spacing w:after="0" w:line="212" w:lineRule="exact"/>
        <w:rPr>
          <w:sz w:val="20"/>
          <w:szCs w:val="20"/>
          <w:color w:val="auto"/>
        </w:rPr>
      </w:pPr>
    </w:p>
    <w:p>
      <w:pPr>
        <w:jc w:val="both"/>
        <w:ind w:left="660" w:hanging="329"/>
        <w:spacing w:after="0" w:line="26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sales increased $15.2 million, or 26.9%, primarily due to increased net average selling price. The net average selling price increased 17.0%, resulting in a $10.4 million increase in net sales, and an 8.5% increase in pounds sold, resulted in a $5.6 million increase in net sales.</w:t>
      </w:r>
    </w:p>
    <w:p>
      <w:pPr>
        <w:sectPr>
          <w:pgSz w:w="11900" w:h="16838" w:orient="portrait"/>
          <w:cols w:equalWidth="0" w:num="1">
            <w:col w:w="9280"/>
          </w:cols>
          <w:pgMar w:left="1320" w:top="309"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280"/>
          </w:cols>
          <w:pgMar w:left="1320" w:top="309" w:right="129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sales consists of costs directly related to producing, processing and packaging shell eggs, purchases of shell eggs from outside sources, processing and packing of prepared foods and egg products, and other non-egg costs. Farm production costs are those costs incurred at our egg production facilities, including feed, facility (including labor), hen amortization and other related farm production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cost of sales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Thirteen Weeks Ended</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8"/>
                <w:szCs w:val="18"/>
                <w:color w:val="auto"/>
              </w:rPr>
              <w:t>Twenty-six Weeks Ended</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November 29,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November 30,</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November 30,</w:t>
            </w: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7"/>
          </w:tcPr>
          <w:p>
            <w:pPr>
              <w:jc w:val="right"/>
              <w:ind w:right="209"/>
              <w:spacing w:after="0"/>
              <w:rPr>
                <w:sz w:val="20"/>
                <w:szCs w:val="20"/>
                <w:color w:val="auto"/>
              </w:rPr>
            </w:pPr>
            <w:r>
              <w:rPr>
                <w:rFonts w:ascii="Times New Roman" w:cs="Times New Roman" w:eastAsia="Times New Roman" w:hAnsi="Times New Roman"/>
                <w:sz w:val="18"/>
                <w:szCs w:val="18"/>
                <w:color w:val="auto"/>
              </w:rPr>
              <w:t>Change</w:t>
            </w:r>
          </w:p>
        </w:tc>
        <w:tc>
          <w:tcPr>
            <w:tcW w:w="112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Change</w:t>
            </w:r>
          </w:p>
        </w:tc>
      </w:tr>
      <w:tr>
        <w:trPr>
          <w:trHeight w:val="203"/>
        </w:trPr>
        <w:tc>
          <w:tcPr>
            <w:tcW w:w="2040" w:type="dxa"/>
            <w:vAlign w:val="bottom"/>
            <w:tcBorders>
              <w:top w:val="single" w:sz="8" w:color="CCEEFF"/>
            </w:tcBorders>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9"/>
        </w:trPr>
        <w:tc>
          <w:tcPr>
            <w:tcW w:w="16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 production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263,794</w:t>
            </w:r>
          </w:p>
        </w:tc>
        <w:tc>
          <w:tcPr>
            <w:tcW w:w="8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258,246</w:t>
            </w:r>
          </w:p>
        </w:tc>
        <w:tc>
          <w:tcPr>
            <w:tcW w:w="6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523,721</w:t>
            </w:r>
          </w:p>
        </w:tc>
        <w:tc>
          <w:tcPr>
            <w:tcW w:w="8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499,947</w:t>
            </w: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packaging,</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22"/>
        </w:trPr>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warehouse - shell</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3"/>
        </w:trPr>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eggs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103,916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98,823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205,063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190,534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7"/>
        </w:trPr>
        <w:tc>
          <w:tcPr>
            <w:tcW w:w="16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Egg purchases and other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16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112,109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198,030</w:t>
            </w: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275,703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366,479</w:t>
            </w:r>
          </w:p>
        </w:tc>
        <w:tc>
          <w:tcPr>
            <w:tcW w:w="6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60" w:type="dxa"/>
            <w:vAlign w:val="bottom"/>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Prepared foods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57,583</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122,797</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0"/>
        </w:trPr>
        <w:tc>
          <w:tcPr>
            <w:tcW w:w="16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Egg products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24,710</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46,116</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58,581</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sales</w:t>
            </w: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562,112</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598,629</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1,173,400</w:t>
            </w:r>
          </w:p>
        </w:tc>
        <w:tc>
          <w:tcPr>
            <w:tcW w:w="80" w:type="dxa"/>
            <w:vAlign w:val="bottom"/>
            <w:tcBorders>
              <w:bottom w:val="single" w:sz="8" w:color="auto"/>
            </w:tcBorders>
            <w:shd w:val="clear" w:color="auto" w:fill="CCEEFF"/>
          </w:tcPr>
          <w:p>
            <w:pPr>
              <w:spacing w:after="0"/>
              <w:rPr>
                <w:sz w:val="20"/>
                <w:szCs w:val="20"/>
                <w:color w:val="auto"/>
              </w:rPr>
            </w:pPr>
          </w:p>
        </w:tc>
        <w:tc>
          <w:tcPr>
            <w:tcW w:w="60" w:type="dxa"/>
            <w:vAlign w:val="bottom"/>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1,137,282</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gridSpan w:val="2"/>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20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8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Farm production costs (per</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204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dozen produced)</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16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0.477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0.483</w:t>
            </w: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0.475</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0.488</w:t>
            </w:r>
          </w:p>
        </w:tc>
        <w:tc>
          <w:tcPr>
            <w:tcW w:w="84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0.449</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0.418</w:t>
            </w: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0.453</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0.421</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gridSpan w:val="2"/>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9"/>
                <w:szCs w:val="19"/>
                <w:color w:val="auto"/>
              </w:rPr>
            </w:pPr>
          </w:p>
        </w:tc>
      </w:tr>
      <w:tr>
        <w:trPr>
          <w:trHeight w:val="277"/>
        </w:trPr>
        <w:tc>
          <w:tcPr>
            <w:tcW w:w="2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farm production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0.926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0.901</w:t>
            </w:r>
          </w:p>
        </w:tc>
        <w:tc>
          <w:tcPr>
            <w:tcW w:w="6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0.928</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0.909</w:t>
            </w: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2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Dozens produced</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289,886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288,035</w:t>
            </w:r>
          </w:p>
        </w:tc>
        <w:tc>
          <w:tcPr>
            <w:tcW w:w="6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572,260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554,874</w:t>
            </w: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Percent produced to sold</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gridSpan w:val="3"/>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89.4%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gridSpan w:val="4"/>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shd w:val="clear" w:color="auto" w:fill="CCEEFF"/>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2026 vs. Fiscal 2025</w:t>
      </w:r>
    </w:p>
    <w:p>
      <w:pPr>
        <w:spacing w:after="0" w:line="212" w:lineRule="exact"/>
        <w:rPr>
          <w:sz w:val="20"/>
          <w:szCs w:val="20"/>
          <w:color w:val="auto"/>
        </w:rPr>
      </w:pPr>
    </w:p>
    <w:p>
      <w:pPr>
        <w:ind w:left="660" w:right="20" w:hanging="329"/>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production costs increased 2.1% primarily due to increased production costs to run our facilities, specifically within labor and repairs and maintenance, partially offset by a 1.2% decrease in feed costs.</w:t>
      </w:r>
    </w:p>
    <w:p>
      <w:pPr>
        <w:spacing w:after="0" w:line="158" w:lineRule="exact"/>
        <w:rPr>
          <w:rFonts w:ascii="Times New Roman" w:cs="Times New Roman" w:eastAsia="Times New Roman" w:hAnsi="Times New Roman"/>
          <w:sz w:val="18"/>
          <w:szCs w:val="18"/>
          <w:color w:val="auto"/>
        </w:rPr>
      </w:pPr>
    </w:p>
    <w:p>
      <w:pPr>
        <w:ind w:left="660" w:right="20" w:hanging="329"/>
        <w:spacing w:after="0" w:line="28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packaging and warehouse increased $5.1 million, as our processing costs and packing materials cost per dozen increased 5% which had a $4.7 million increase in cost of sales.</w:t>
      </w:r>
    </w:p>
    <w:p>
      <w:pPr>
        <w:spacing w:after="0" w:line="146" w:lineRule="exact"/>
        <w:rPr>
          <w:rFonts w:ascii="Times New Roman" w:cs="Times New Roman" w:eastAsia="Times New Roman" w:hAnsi="Times New Roman"/>
          <w:sz w:val="18"/>
          <w:szCs w:val="18"/>
          <w:color w:val="auto"/>
        </w:rPr>
      </w:pPr>
    </w:p>
    <w:p>
      <w:pPr>
        <w:jc w:val="both"/>
        <w:ind w:left="660" w:hanging="329"/>
        <w:spacing w:after="0" w:line="25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purchases and other cost of sales decreased $85.9 million, primarily due to a 29.7% decrease in the price of outside egg purchases compared to the second quarter of fiscal 2025, which resulted in a $61.0 million decrease in cost of sales, and a 11.5% decrease in the volume of outside egg purchases, compared to the second quarter of fiscal 2025, which resulted in a $26.6 million decrease in cost of sales.</w:t>
      </w:r>
    </w:p>
    <w:p>
      <w:pPr>
        <w:spacing w:after="0" w:line="173" w:lineRule="exact"/>
        <w:rPr>
          <w:rFonts w:ascii="Times New Roman" w:cs="Times New Roman" w:eastAsia="Times New Roman" w:hAnsi="Times New Roman"/>
          <w:sz w:val="18"/>
          <w:szCs w:val="18"/>
          <w:color w:val="auto"/>
        </w:rPr>
      </w:pPr>
    </w:p>
    <w:p>
      <w:pPr>
        <w:ind w:left="660" w:right="40" w:hanging="329"/>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foods costs increased primarily due to the acquisition of Echo Lake Foods which increased cost of sales $42.9 million compared to the second quarter of fiscal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2026 vs. Fiscal 2025</w:t>
      </w:r>
    </w:p>
    <w:p>
      <w:pPr>
        <w:spacing w:after="0" w:line="212" w:lineRule="exact"/>
        <w:rPr>
          <w:sz w:val="20"/>
          <w:szCs w:val="20"/>
          <w:color w:val="auto"/>
        </w:rPr>
      </w:pPr>
    </w:p>
    <w:p>
      <w:pPr>
        <w:jc w:val="both"/>
        <w:ind w:left="660" w:right="20" w:hanging="329"/>
        <w:spacing w:after="0" w:line="25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production costs increased 4.8% primarily due to increase in eggs produced, which resulted in $15.8 million increase in cost of sales, and a 2.1% increase in production costs. This increase was primarily due to the same reasons as described above.</w:t>
      </w:r>
    </w:p>
    <w:p>
      <w:pPr>
        <w:spacing w:after="0" w:line="166" w:lineRule="exact"/>
        <w:rPr>
          <w:rFonts w:ascii="Times New Roman" w:cs="Times New Roman" w:eastAsia="Times New Roman" w:hAnsi="Times New Roman"/>
          <w:sz w:val="18"/>
          <w:szCs w:val="18"/>
          <w:color w:val="auto"/>
        </w:rPr>
      </w:pPr>
    </w:p>
    <w:p>
      <w:pPr>
        <w:jc w:val="both"/>
        <w:ind w:left="660" w:right="20" w:hanging="329"/>
        <w:spacing w:after="0" w:line="25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packaging and warehouse increased $14.5 million, as our processing costs and packing materials cost per dozen increased 5% which had a $9.2 million increase in cost of sales, as well as increase volume of eggs processed, which resulted in $3.5 million increase in cost of sales</w:t>
      </w: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260"/>
          </w:cols>
          <w:pgMar w:left="1320" w:top="309" w:right="1319" w:bottom="1440" w:gutter="0" w:footer="0" w:header="0"/>
          <w:type w:val="continuous"/>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right="60" w:hanging="329"/>
        <w:spacing w:after="0" w:line="25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purchases and other cost of sales decreased $90.8 million, primarily due to a 14.9% decrease in the price of outside egg purchases compared to the same prior-year period, which resulted in a $57.3 million decrease in cost of sales, and a 9.6% decrease in the volume of outside egg purchases compared to the same prior-year period, which resulted in a $41.1 million decrease in cost of sales.</w:t>
      </w:r>
    </w:p>
    <w:p>
      <w:pPr>
        <w:spacing w:after="0" w:line="173" w:lineRule="exact"/>
        <w:rPr>
          <w:rFonts w:ascii="Times New Roman" w:cs="Times New Roman" w:eastAsia="Times New Roman" w:hAnsi="Times New Roman"/>
          <w:sz w:val="18"/>
          <w:szCs w:val="18"/>
          <w:color w:val="auto"/>
        </w:rPr>
      </w:pPr>
    </w:p>
    <w:p>
      <w:pPr>
        <w:ind w:left="660" w:right="60" w:hanging="329"/>
        <w:spacing w:after="0" w:line="26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foods costs increased primarily due to the acquisition of Echo Lake Foods which increased cost of sales $94.6 million compared to the twenty-six weeks ended November 30, 2024.</w:t>
      </w:r>
    </w:p>
    <w:p>
      <w:pPr>
        <w:spacing w:after="0" w:line="172"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Current indications for corn and soybean project a favorable stocks-to-use ratio for us near the levels prevailing today for the remainder of fiscal 2026; however, as long as outside factors remain uncertain (including trade and tariff negotiations, weather patterns and global supply chain disruptions), volatility could remain.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for the second quarter of fiscal 2026 was $207.4 million, compared to $356.0 million for the same period of 2025. The decrease was primarily driven by 26.5% lower net average selling prices for shell eggs and 2.2% lower shell egg sales volume, offset partially by lower egg prices for outside purchases and a 3% increase in percent produced to sold, as well as contributions from prepared foods.</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Gross profit for the twenty-six weeks ended November 26, 2025 was $518.7 million, compared to $603.3 million for the same period of 2026. The decrease was primarily driven by 12.6% lower net average selling prices for shell eggs, offset partially by a decrease in the price and volume of outside egg purchases, as dozens produced increased 3.1%, as well as contributions from prepared foods.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25"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(“SGA”) expenses include costs of delivery, marketing, and other general and administrative expenses. Delivery expense includes contract trucking expense and all costs to maintain and operate our fleet of trucks to deliver products to customers including the related payroll expenses. Marketing expense includes franchise fees that are submitted to Eggland’s Best, Inc. (“EB”) to support the EB brand, brokerage and commission fees, and other general marketing expenses such as payroll expenses for our in-house sales team. Other general and administrative expenses include corporate payroll related expenses and other general corporate overhead costs. The following table presents an analysis of our SGA expenses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8"/>
                <w:szCs w:val="18"/>
                <w:color w:val="auto"/>
              </w:rPr>
              <w:t>Thirteen Weeks Ended</w:t>
            </w: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9"/>
              <w:spacing w:after="0" w:line="176" w:lineRule="exact"/>
              <w:rPr>
                <w:sz w:val="20"/>
                <w:szCs w:val="20"/>
                <w:color w:val="auto"/>
              </w:rPr>
            </w:pPr>
            <w:r>
              <w:rPr>
                <w:rFonts w:ascii="Times New Roman" w:cs="Times New Roman" w:eastAsia="Times New Roman" w:hAnsi="Times New Roman"/>
                <w:sz w:val="18"/>
                <w:szCs w:val="18"/>
                <w:color w:val="auto"/>
              </w:rPr>
              <w:t>November 29,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30,</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2"/>
        </w:trPr>
        <w:tc>
          <w:tcPr>
            <w:tcW w:w="3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69"/>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3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26,402</w:t>
            </w:r>
          </w:p>
        </w:tc>
        <w:tc>
          <w:tcPr>
            <w:tcW w:w="80" w:type="dxa"/>
            <w:vAlign w:val="bottom"/>
            <w:tcBorders>
              <w:top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23,666</w:t>
            </w:r>
          </w:p>
        </w:tc>
        <w:tc>
          <w:tcPr>
            <w:tcW w:w="4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22"/>
                <w:szCs w:val="22"/>
                <w:color w:val="auto"/>
              </w:rPr>
            </w:pPr>
          </w:p>
        </w:tc>
      </w:tr>
      <w:tr>
        <w:trPr>
          <w:trHeight w:val="270"/>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Marketing expense</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15,074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70"/>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38,893</w:t>
            </w:r>
          </w:p>
        </w:tc>
        <w:tc>
          <w:tcPr>
            <w:tcW w:w="4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23"/>
                <w:szCs w:val="23"/>
                <w:color w:val="auto"/>
              </w:rPr>
            </w:pPr>
          </w:p>
        </w:tc>
      </w:tr>
      <w:tr>
        <w:trPr>
          <w:trHeight w:val="236"/>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82,887</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77,633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2026 vs. Fiscal 2025</w:t>
      </w:r>
    </w:p>
    <w:p>
      <w:pPr>
        <w:spacing w:after="0" w:line="212" w:lineRule="exact"/>
        <w:rPr>
          <w:sz w:val="20"/>
          <w:szCs w:val="20"/>
          <w:color w:val="auto"/>
        </w:rPr>
      </w:pPr>
    </w:p>
    <w:p>
      <w:pPr>
        <w:ind w:left="660" w:hanging="329"/>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expense increased primarily due to the acquisition of Echo Lake Foods.</w:t>
      </w:r>
    </w:p>
    <w:p>
      <w:pPr>
        <w:spacing w:after="0" w:line="211" w:lineRule="exact"/>
        <w:rPr>
          <w:rFonts w:ascii="Times New Roman" w:cs="Times New Roman" w:eastAsia="Times New Roman" w:hAnsi="Times New Roman"/>
          <w:sz w:val="18"/>
          <w:szCs w:val="18"/>
          <w:color w:val="auto"/>
        </w:rPr>
      </w:pPr>
    </w:p>
    <w:p>
      <w:pPr>
        <w:jc w:val="both"/>
        <w:ind w:left="660" w:right="20" w:hanging="329"/>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2026, other general and administrative expenses increased 7.5%, compared to the prior year period, primarily due to the acquisition of Echo Lake Foods and increased spending in professional and legal fees. This was partially offset by a reduced charge in the change in earnout liability recorded in the prior year period and a reduction in the accrual for anticipated employee bonuses compared to the prior year period.</w:t>
      </w:r>
    </w:p>
    <w:p>
      <w:pPr>
        <w:sectPr>
          <w:pgSz w:w="11900" w:h="16838" w:orient="portrait"/>
          <w:cols w:equalWidth="0" w:num="1">
            <w:col w:w="9280"/>
          </w:cols>
          <w:pgMar w:left="1320" w:top="309"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280"/>
          </w:cols>
          <w:pgMar w:left="1320" w:top="309" w:right="129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Index</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3"/>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top w:val="single" w:sz="8" w:color="0000FF"/>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color w:val="auto"/>
              </w:rPr>
              <w:t>Twenty-six Weeks Ended</w:t>
            </w: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29, 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November 30, 2024</w:t>
            </w:r>
          </w:p>
        </w:tc>
        <w:tc>
          <w:tcPr>
            <w:tcW w:w="80" w:type="dxa"/>
            <w:vAlign w:val="bottom"/>
          </w:tcPr>
          <w:p>
            <w:pPr>
              <w:spacing w:after="0"/>
              <w:rPr>
                <w:sz w:val="19"/>
                <w:szCs w:val="19"/>
                <w:color w:val="auto"/>
              </w:rPr>
            </w:pPr>
          </w:p>
        </w:tc>
        <w:tc>
          <w:tcPr>
            <w:tcW w:w="1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52,445</w:t>
            </w:r>
          </w:p>
        </w:tc>
        <w:tc>
          <w:tcPr>
            <w:tcW w:w="4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44,730</w:t>
            </w:r>
          </w:p>
        </w:tc>
        <w:tc>
          <w:tcPr>
            <w:tcW w:w="4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7,715</w:t>
            </w:r>
          </w:p>
        </w:tc>
        <w:tc>
          <w:tcPr>
            <w:tcW w:w="4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21"/>
                <w:szCs w:val="21"/>
                <w:color w:val="auto"/>
              </w:rPr>
            </w:pPr>
          </w:p>
        </w:tc>
      </w:tr>
      <w:tr>
        <w:trPr>
          <w:trHeight w:val="283"/>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Marketing expense</w:t>
            </w:r>
          </w:p>
        </w:tc>
        <w:tc>
          <w:tcPr>
            <w:tcW w:w="200" w:type="dxa"/>
            <w:vAlign w:val="bottom"/>
          </w:tcPr>
          <w:p>
            <w:pPr>
              <w:spacing w:after="0"/>
              <w:rPr>
                <w:sz w:val="24"/>
                <w:szCs w:val="24"/>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29,148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29,426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r>
      <w:tr>
        <w:trPr>
          <w:trHeight w:val="257"/>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3"/>
        </w:trPr>
        <w:tc>
          <w:tcPr>
            <w:tcW w:w="27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expenses</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70,808</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440"/>
              <w:spacing w:after="0" w:line="202" w:lineRule="exact"/>
              <w:rPr>
                <w:sz w:val="20"/>
                <w:szCs w:val="20"/>
                <w:color w:val="auto"/>
              </w:rPr>
            </w:pPr>
            <w:r>
              <w:rPr>
                <w:rFonts w:ascii="Times New Roman" w:cs="Times New Roman" w:eastAsia="Times New Roman" w:hAnsi="Times New Roman"/>
                <w:sz w:val="18"/>
                <w:szCs w:val="18"/>
                <w:color w:val="auto"/>
              </w:rPr>
              <w:t>65,409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8"/>
                <w:szCs w:val="18"/>
                <w:color w:val="auto"/>
              </w:rPr>
              <w:t>5,399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3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152,401</w:t>
            </w:r>
          </w:p>
        </w:tc>
        <w:tc>
          <w:tcPr>
            <w:tcW w:w="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139,565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Twenty-six weeks – Fiscal 2026 vs. Fiscal 2025</w:t>
      </w:r>
    </w:p>
    <w:p>
      <w:pPr>
        <w:spacing w:after="0" w:line="212" w:lineRule="exact"/>
        <w:rPr>
          <w:sz w:val="20"/>
          <w:szCs w:val="20"/>
          <w:color w:val="auto"/>
        </w:rPr>
      </w:pPr>
    </w:p>
    <w:p>
      <w:pPr>
        <w:ind w:left="660" w:right="40" w:hanging="329"/>
        <w:spacing w:after="0" w:line="283" w:lineRule="auto"/>
        <w:tabs>
          <w:tab w:leader="none" w:pos="6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expense increased 17.2% in fiscal 2026, compared to fiscal 2025. This increase was primarily due to the acquisition of Echo Lake Foods.</w:t>
      </w:r>
    </w:p>
    <w:p>
      <w:pPr>
        <w:spacing w:after="0" w:line="146" w:lineRule="exact"/>
        <w:rPr>
          <w:rFonts w:ascii="Times New Roman" w:cs="Times New Roman" w:eastAsia="Times New Roman" w:hAnsi="Times New Roman"/>
          <w:sz w:val="18"/>
          <w:szCs w:val="18"/>
          <w:color w:val="auto"/>
        </w:rPr>
      </w:pPr>
    </w:p>
    <w:p>
      <w:pPr>
        <w:ind w:left="660" w:right="80" w:hanging="329"/>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2026, other general and administrative expenses increased 8.3% in fiscal 2026 compared to fiscal 2025. This increase was primarily due to the same reasons as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INVOLUNTARY CONVERSION</w:t>
      </w:r>
    </w:p>
    <w:p>
      <w:pPr>
        <w:spacing w:after="0" w:line="21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8"/>
          <w:szCs w:val="18"/>
          <w:color w:val="auto"/>
        </w:rPr>
        <w:t>In the first quarter of fiscal 2026, we recorded a gain of $7.5 million due to business interruption insurance recoveries related to a weather-related event that occurred in fiscal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25"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color w:val="auto"/>
        </w:rPr>
        <w:t>For the second quarter of fiscal 2026, we recorded operating income of $123.9 million, compared to operating income of $278.1 million for the same period of fiscal 2025.</w:t>
      </w:r>
    </w:p>
    <w:p>
      <w:pPr>
        <w:spacing w:after="0" w:line="16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8"/>
          <w:szCs w:val="18"/>
          <w:color w:val="auto"/>
        </w:rPr>
        <w:t>For the twenty-six weeks ended November 29, 2025, we recorded operating income of $373.1 million, compared to operating income of $465.0 million for the same period of fiscal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Total other income (expense) consists of items not directly charged or related to operations, such as interest income and expense, equity in income or loss of unconsolidated entities, and patronage dividends, among other items. Patronage dividends are paid to us from our membership in the EB cooperative.</w:t>
      </w:r>
    </w:p>
    <w:p>
      <w:pPr>
        <w:spacing w:after="0" w:line="173"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For the second quarter of fiscal 2026, we earned $12.5 million of interest income compared to $9.9 million for the same period of fiscal 2025, primarily due to higher average cash and cash equivalents and investment securities available-for-sale balances. The Company recorded interest expense of $201 thousand and $150 thousand for the second quarters ended November 29, 2025 and November 30, 2024, respectively.</w:t>
      </w:r>
    </w:p>
    <w:p>
      <w:pPr>
        <w:spacing w:after="0" w:line="183"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For the twenty-six weeks ended November 29, 2025, we earned $25.5 million of interest income compared to $19.9 million for the same period of fiscal 2025, primarily due to higher average cash and cash equivalents and investment securities available-for-sale balances. The Company recorded interest expense of $351 thousand and $310 thousand for the twenty-six weeks ended November 29, 2025 and November 30, 2024,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highlight w:val="white"/>
        </w:rPr>
        <w:t>For the second quarter of fiscal 2026, our pre-tax income was $136.1 million, compared to $289.0 million for the second quarter of fiscal 2025. Income tax expense of $33.2 million was recorded for second quarter 2026 with an effective tax rate of 24.4%. For the second quarter 2025, income tax expense was $70.6 million with an effective tax rate of 24.4%.</w:t>
      </w:r>
    </w:p>
    <w:p>
      <w:pPr>
        <w:spacing w:after="0" w:line="160"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 xml:space="preserve">For the twenty-six weeks ended November 29, 2025, pre-tax income was $399.3 million, compared to $486.9 million for the same period of fiscal 2025. Income tax expense of $97.3 million was recorded for the twenty-six weeks ended November 29, 2025, with an effective tax rate of 24.4%. For the same period fiscal 2025, income tax expense was $119.0 million with an </w:t>
      </w:r>
      <w:r>
        <w:rPr>
          <w:rFonts w:ascii="Times New Roman" w:cs="Times New Roman" w:eastAsia="Times New Roman" w:hAnsi="Times New Roman"/>
          <w:sz w:val="18"/>
          <w:szCs w:val="18"/>
          <w:color w:val="auto"/>
          <w:highlight w:val="white"/>
        </w:rPr>
        <w:t>effective tax rate of 24.4%.</w:t>
      </w:r>
    </w:p>
    <w:p>
      <w:pPr>
        <w:spacing w:after="0" w:line="183"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18"/>
          <w:szCs w:val="18"/>
          <w:color w:val="auto"/>
          <w:highlight w:val="white"/>
        </w:rPr>
        <w:t>Items causing our effective tax rate to differ from the federal statutory income tax rate of 21% are state income taxes, offset by certain federal tax credits and certain items included in income or loss for financial reporting purposes that are not included in</w:t>
      </w:r>
    </w:p>
    <w:p>
      <w:pPr>
        <w:sectPr>
          <w:pgSz w:w="11900" w:h="16838" w:orient="portrait"/>
          <w:cols w:equalWidth="0" w:num="1">
            <w:col w:w="9300"/>
          </w:cols>
          <w:pgMar w:left="1320" w:top="297" w:right="1279" w:bottom="1440" w:gutter="0" w:footer="0" w:header="0"/>
        </w:sectPr>
      </w:pP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300"/>
          </w:cols>
          <w:pgMar w:left="1320" w:top="297" w:right="1279" w:bottom="1440" w:gutter="0" w:footer="0" w:header="0"/>
          <w:type w:val="continuous"/>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8"/>
          <w:szCs w:val="18"/>
          <w:color w:val="auto"/>
          <w:highlight w:val="white"/>
        </w:rPr>
        <w:t>taxable income or loss for income tax purposes, including tax exempt interest income, certain nondeductible expenses, and net income or loss attributable to noncontrolling interest.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CAL-MAINE FOODS, INC.</w:t>
      </w:r>
    </w:p>
    <w:p>
      <w:pPr>
        <w:spacing w:after="0" w:line="22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Net income attributable to Cal-Maine Foods, Inc. for the second quarter ended November 29, 2025 was $102.8 million, or $2.14 per basic and $2.13 per diluted common share, compared to net income attributable to Cal-Maine Foods, Inc. of $219.1 million, or $4.49 per basic and $4.47 per diluted common share, for the same period of fiscal 2025.</w:t>
      </w:r>
    </w:p>
    <w:p>
      <w:pPr>
        <w:spacing w:after="0" w:line="17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Net income attributable to Cal-Maine Foods, Inc. for the twenty-six weeks ended November 29, 2025, was $302.1 million, or $6.27 per basic and $6.26 per diluted common share, compared to net income attributable to Cal-Maine Foods, Inc. of $369.0 million or $7.57 per basic and $7.54 per diluted common share, for the same period of fiscal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Working Capital and Current Ratio</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working capital was $1.5 billion at November 29, 2025, compared to $1.7 billion at May 31, 2025. The calculation of working capital is defined as current assets less current liabilities. Our current ratio was 8.0 at November 29, 2025 compared to 6.4 at May 31, 2025. The increase in our current ratio is primarily due to a decrease in dividends payables with respect to our second quarter 2026. The current ratio is calculated by dividing current assets by current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Operating Activities</w:t>
      </w:r>
    </w:p>
    <w:p>
      <w:pPr>
        <w:spacing w:after="0" w:line="21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the twenty-six weeks ended November 29, 2025, $373.4 million in net cash was provided by operating activities, compared to $240.2 million provided by operating activities for the comparable period in fiscal 2025. The increase in cash flow from operating activities resulted primarily from an increase in cash collections from customers and the addition of Echo Lake Foods.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twenty-six weeks ended November 29, 2025, $246.0 million was used in investing activities, primarily due to the acquisitions of Echo Lake Foods and Clean Egg and purchases of investment securities, compared to $247.4 million used in investing activities in the same period of fiscal 2025. Purchases of investment securities were $345.4 million during the twenty-six weeks ended November 29, 2025, and sales and maturities of investment securities were $490.4 million during the period. Sales and maturities of investment securities were $426.5 million in the prior-year period while purchases of investment securities were $501.6 million during the period. Cash paid for business acquisitions, net of cash acquired, was $299.0 million in the twenty-six weeks ended November 29, 2025, related to the Echo Lake Foods and Clean Egg acquisitions, and $111.5 million in the prior-year period, related to the ISE acquisition. Purchases of property, plant and equipment were $92.1 million and $65.6 million in fiscal 2026 and 2025, respectively, primarily reflecting progress on our construction projects.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twenty-six weeks ended November 29, 2025, $255.4 million was used in financing activities, primarily due to dividends paid of $180.5 million in fiscal 2026, compared to $87.8 million in the same prior-year period. Purchases of common stock by treasury were $74.9 million during the twenty-six weeks ended November 29, 2025, due to the repurchase of common stock under the Company’s share repurchase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Change in Cash and Cash Equivalents</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As of November 29, 2025, cash, cash equivalents and restricted cash decreased $128.0 million since May 31, 2025, compared to a decrease of $97.6 million during the same period of fiscal 2025. The decrease is primarily due to the cash paid for the Echo Lake Foods acquisition during the first quarter of fiscal 2026 and higher dividends paid with respect to our first quarter of fiscal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18"/>
          <w:szCs w:val="18"/>
          <w:color w:val="auto"/>
        </w:rPr>
        <w:t>On November 15, 2021, we entered into a credit agreement that provides for a senior secured revolving credit facility (the “Credit Facility”), in an initial aggregate principal amount of up to $250 million with a five-year term. As of November 29,</w:t>
      </w:r>
    </w:p>
    <w:p>
      <w:pPr>
        <w:sectPr>
          <w:pgSz w:w="11900" w:h="16838" w:orient="portrait"/>
          <w:cols w:equalWidth="0" w:num="1">
            <w:col w:w="9280"/>
          </w:cols>
          <w:pgMar w:left="1320" w:top="309" w:right="12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280"/>
          </w:cols>
          <w:pgMar w:left="1320" w:top="309" w:right="1299" w:bottom="1440" w:gutter="0" w:footer="0" w:header="0"/>
          <w:type w:val="continuous"/>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color w:val="auto"/>
        </w:rPr>
        <w:t>2025, no amounts were borrowed under the Credit Facility and we had $4.7 million in outstanding standby letters of credit issued under our Credit Facility for the benefit of certain insurance companies.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February 2025, the Company’s Board of Directors (“Board”) approved a $500 million share repurchase program. The share repurchase program authorizes the Company, in management’s discretion, to repurchase Common Stock from time to time for an aggregate purchase price up to $500 million (exclusive of any fees, taxes, commissions or other expenses related to such repurchases), subject to market conditions and other factors. The actual timing, number and value of shares repurchased under the program will be determined by management in its discretion and will depend on a number of factors, including, but not limited to, the market price of the Common Stock and general market and economic conditions. During the twenty-six weeks ended November 29, 2025, the Company repurchased 846,037 shares or approximately $74.8 million under the program. As of the end of the second quarter of fiscal 2026, we had remaining authorization to purchase up to $375.2 million under the repurchase program. See </w:t>
      </w:r>
      <w:r>
        <w:rPr>
          <w:rFonts w:ascii="Times New Roman" w:cs="Times New Roman" w:eastAsia="Times New Roman" w:hAnsi="Times New Roman"/>
          <w:sz w:val="18"/>
          <w:szCs w:val="18"/>
          <w:u w:val="single" w:color="auto"/>
          <w:color w:val="0000FF"/>
        </w:rPr>
        <w:t>Part II. Item 2. Unregistered Sales of Equity Securities and Use of Proceeds</w:t>
      </w:r>
      <w:r>
        <w:rPr>
          <w:rFonts w:ascii="Times New Roman" w:cs="Times New Roman" w:eastAsia="Times New Roman" w:hAnsi="Times New Roman"/>
          <w:sz w:val="18"/>
          <w:szCs w:val="18"/>
          <w:color w:val="auto"/>
        </w:rPr>
        <w:t xml:space="preserve"> for further information.</w:t>
      </w:r>
    </w:p>
    <w:p>
      <w:pPr>
        <w:spacing w:after="0" w:line="1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Company expects to strategically and opportunistically repurchase shares from time to time through solicited or unsolicited transactions in the open market, in privately negotiated transactions or by other means in accordance with securities laws. The Company expects that share repurchases under the program will be funded from existing cash balances and future free cash flow. The share repurchase program does not obligate the Company to repurchase any specific amount of shares, does not have an expiration date, and may be suspended, modified or discontinued at any time without prior notice.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1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accordance with our variable dividend policy, we will pay a cash dividend totaling approximately $34.3 million, or approximately $0.719 per share, to holders of our Common Stock with respect to our second quarter of fiscal 2026. The amount paid per share will vary based on the number of outstanding shares on the record date. The dividend is payable on February 12, 2026, to holders of record on January 28,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Cash Requirements</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Material cash requirements for operating activities primarily consist of feed ingredients, processing, packaging and warehouse costs, employee related costs, maintenance capital expenditures and other general operating expenses. Our material cash requirements for growth capital expenditures consist primarily of our construction projects to increase our production capacity of prepared foods and cage-free shell egg production. We believe our current cash balances, investments, projected cash flows from operations, and available borrowings under our Credit Facility will be sufficient to fund our cash needs for at least the next 12 months and to fund our capital commitments currently in place thereafter. Future acquisitions of businesses may require additional financing.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RECENTLY ISSUED ACCOUNTING STANDARDS</w:t>
      </w:r>
    </w:p>
    <w:p>
      <w:pPr>
        <w:spacing w:after="0" w:line="22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information on changes in accounting principles and new accounting principles, see “</w:t>
      </w:r>
      <w:r>
        <w:rPr>
          <w:rFonts w:ascii="Times New Roman" w:cs="Times New Roman" w:eastAsia="Times New Roman" w:hAnsi="Times New Roman"/>
          <w:sz w:val="18"/>
          <w:szCs w:val="18"/>
          <w:i w:val="1"/>
          <w:iCs w:val="1"/>
          <w:color w:val="auto"/>
        </w:rPr>
        <w:t>New Accounting Pronouncements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1 - Summary of Significant Accounting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Notes to Condensed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in this Quarterly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U.S. generally accepted accounting principles that involve a significant level of estimation uncertainty and have had or are reasonably likely to have a material impact on our financial condition or results of operations. There have been no changes to our critical accounting estimates identified in our 2025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360"/>
        <w:spacing w:after="0" w:line="259" w:lineRule="auto"/>
        <w:rPr>
          <w:sz w:val="20"/>
          <w:szCs w:val="20"/>
          <w:color w:val="auto"/>
        </w:rPr>
      </w:pPr>
      <w:r>
        <w:rPr>
          <w:rFonts w:ascii="Times New Roman" w:cs="Times New Roman" w:eastAsia="Times New Roman" w:hAnsi="Times New Roman"/>
          <w:sz w:val="18"/>
          <w:szCs w:val="18"/>
          <w:color w:val="auto"/>
        </w:rPr>
        <w:t>There have been no material changes in our exposure to market risk during the twenty-six weeks ended November 29, 2025 from the information provided in Part II Item 7A, Quantitative and Qualitative Disclosures About Market Risk in our 2025 Annual Report.</w:t>
      </w:r>
    </w:p>
    <w:p>
      <w:pPr>
        <w:sectPr>
          <w:pgSz w:w="11900" w:h="16838" w:orient="portrait"/>
          <w:cols w:equalWidth="0" w:num="1">
            <w:col w:w="9280"/>
          </w:cols>
          <w:pgMar w:left="1320" w:top="309"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280"/>
          </w:cols>
          <w:pgMar w:left="1320" w:top="309" w:right="1299" w:bottom="1440" w:gutter="0" w:footer="0" w:header="0"/>
          <w:type w:val="continuous"/>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or persons performing similar functions, as appropriate to allow timely decisions regarding required disclosure. Based on an evaluation of our disclosure controls and procedures conducted by our Chief Executive Officer and Chief Financial Officer, together with other financial officers, such officers concluded that our disclosure controls and procedures were effective as of November 29, 2025 at the reasonable assurance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November 29, 2025 that has materially affected, or is reasonably likely to materially affect, our internal control over financial reporting. As disclosed elsewhere in this Quarterly Report, we completed the acquisition of Echo Lake Foods during the first quarter of fiscal 2026. As permitted by SEC guidance, the scope of management’s review of its internal control over financial reporting excluded Echo Lake Foods.</w:t>
      </w:r>
    </w:p>
    <w:p>
      <w:pPr>
        <w:sectPr>
          <w:pgSz w:w="11900" w:h="16838" w:orient="portrait"/>
          <w:cols w:equalWidth="0" w:num="1">
            <w:col w:w="9260"/>
          </w:cols>
          <w:pgMar w:left="1320" w:top="30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260"/>
          </w:cols>
          <w:pgMar w:left="1320" w:top="309" w:right="1319" w:bottom="1440" w:gutter="0" w:footer="0" w:header="0"/>
          <w:type w:val="continuous"/>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Refer to the discussion of certain legal proceedings involving the Company and/or its subsidiaries in (i) our 2025 Annual Report, Part I Item 3 Legal Proceedings, and Part II Item 8, Notes to Consolidated Financial Statements and Supplementary Data, Note 16 - Commitments and Contingencies, and (ii) in this Quarterly Report in </w:t>
      </w:r>
      <w:r>
        <w:rPr>
          <w:rFonts w:ascii="Times New Roman" w:cs="Times New Roman" w:eastAsia="Times New Roman" w:hAnsi="Times New Roman"/>
          <w:sz w:val="18"/>
          <w:szCs w:val="18"/>
          <w:u w:val="single" w:color="auto"/>
          <w:color w:val="0000FF"/>
        </w:rPr>
        <w:t>Note 10 -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which discussions are incorporated herein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in the risk factors previously disclosed in the 2025 Annual Report. The following risk factors should be read in conjunction with the risk factors set forth in the 2025 Annual Report.</w:t>
      </w:r>
    </w:p>
    <w:p>
      <w:pPr>
        <w:spacing w:after="0" w:line="15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8"/>
          <w:szCs w:val="18"/>
          <w:b w:val="1"/>
          <w:bCs w:val="1"/>
          <w:color w:val="auto"/>
        </w:rPr>
        <w:t>Our shell eggs, egg products and prepared foods offerings are susceptible to contamination, and we may be required to, or we may voluntarily, recall contaminated products.</w:t>
      </w:r>
    </w:p>
    <w:p>
      <w:pPr>
        <w:spacing w:after="0" w:line="15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We sell food products for human consumption, including shell eggs, egg products and prepared foods, which involves food safety risks such as:</w:t>
      </w:r>
    </w:p>
    <w:p>
      <w:pPr>
        <w:spacing w:after="0" w:line="170" w:lineRule="exact"/>
        <w:rPr>
          <w:sz w:val="20"/>
          <w:szCs w:val="20"/>
          <w:color w:val="auto"/>
        </w:rPr>
      </w:pPr>
    </w:p>
    <w:p>
      <w:pPr>
        <w:jc w:val="both"/>
        <w:ind w:left="700" w:right="20" w:hanging="315"/>
        <w:spacing w:after="0" w:line="248"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food contamination caused by disease-producing organisms or pathogens, such as </w:t>
      </w:r>
      <w:r>
        <w:rPr>
          <w:rFonts w:ascii="Times New Roman" w:cs="Times New Roman" w:eastAsia="Times New Roman" w:hAnsi="Times New Roman"/>
          <w:sz w:val="18"/>
          <w:szCs w:val="18"/>
          <w:i w:val="1"/>
          <w:iCs w:val="1"/>
          <w:color w:val="auto"/>
        </w:rPr>
        <w:t>Listeria monocytogenes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Salmonella Enteritidis</w:t>
      </w:r>
      <w:r>
        <w:rPr>
          <w:rFonts w:ascii="Times New Roman" w:cs="Times New Roman" w:eastAsia="Times New Roman" w:hAnsi="Times New Roman"/>
          <w:sz w:val="18"/>
          <w:szCs w:val="18"/>
          <w:color w:val="auto"/>
        </w:rPr>
        <w:t>, and pathogenic</w:t>
      </w:r>
      <w:r>
        <w:rPr>
          <w:rFonts w:ascii="Times New Roman" w:cs="Times New Roman" w:eastAsia="Times New Roman" w:hAnsi="Times New Roman"/>
          <w:sz w:val="18"/>
          <w:szCs w:val="18"/>
          <w:i w:val="1"/>
          <w:iCs w:val="1"/>
          <w:color w:val="auto"/>
        </w:rPr>
        <w:t xml:space="preserve"> E Coli</w:t>
      </w:r>
      <w:r>
        <w:rPr>
          <w:rFonts w:ascii="Times New Roman" w:cs="Times New Roman" w:eastAsia="Times New Roman" w:hAnsi="Times New Roman"/>
          <w:sz w:val="18"/>
          <w:szCs w:val="18"/>
          <w:color w:val="auto"/>
        </w:rPr>
        <w:t>., including contamination caused by introduction of pathogens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improper handling by customers or consumers (over which we have no control) or by operational errors by suppliers or co-manufacturers or in our facilities;</w:t>
      </w:r>
    </w:p>
    <w:p>
      <w:pPr>
        <w:spacing w:after="0" w:line="3" w:lineRule="exact"/>
        <w:rPr>
          <w:rFonts w:ascii="Times New Roman" w:cs="Times New Roman" w:eastAsia="Times New Roman" w:hAnsi="Times New Roman"/>
          <w:sz w:val="18"/>
          <w:szCs w:val="18"/>
          <w:color w:val="auto"/>
        </w:rPr>
      </w:pPr>
    </w:p>
    <w:p>
      <w:pPr>
        <w:ind w:left="700" w:hanging="315"/>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mislabeling, including with respect to food allergens;</w:t>
      </w:r>
    </w:p>
    <w:p>
      <w:pPr>
        <w:spacing w:after="0" w:line="9" w:lineRule="exact"/>
        <w:rPr>
          <w:rFonts w:ascii="Times New Roman" w:cs="Times New Roman" w:eastAsia="Times New Roman" w:hAnsi="Times New Roman"/>
          <w:sz w:val="18"/>
          <w:szCs w:val="18"/>
          <w:color w:val="auto"/>
        </w:rPr>
      </w:pPr>
    </w:p>
    <w:p>
      <w:pPr>
        <w:ind w:left="700" w:hanging="315"/>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spoilage;</w:t>
      </w:r>
    </w:p>
    <w:p>
      <w:pPr>
        <w:spacing w:after="0" w:line="22" w:lineRule="exact"/>
        <w:rPr>
          <w:rFonts w:ascii="Times New Roman" w:cs="Times New Roman" w:eastAsia="Times New Roman" w:hAnsi="Times New Roman"/>
          <w:sz w:val="18"/>
          <w:szCs w:val="18"/>
          <w:color w:val="auto"/>
        </w:rPr>
      </w:pPr>
    </w:p>
    <w:p>
      <w:pPr>
        <w:ind w:left="700" w:hanging="315"/>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nutritional and health-related concerns; and</w:t>
      </w:r>
    </w:p>
    <w:p>
      <w:pPr>
        <w:spacing w:after="0" w:line="9" w:lineRule="exact"/>
        <w:rPr>
          <w:rFonts w:ascii="Times New Roman" w:cs="Times New Roman" w:eastAsia="Times New Roman" w:hAnsi="Times New Roman"/>
          <w:sz w:val="18"/>
          <w:szCs w:val="18"/>
          <w:color w:val="auto"/>
        </w:rPr>
      </w:pPr>
    </w:p>
    <w:p>
      <w:pPr>
        <w:ind w:left="700" w:hanging="315"/>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tampering.</w:t>
      </w:r>
    </w:p>
    <w:p>
      <w:pPr>
        <w:spacing w:after="0" w:line="1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Shipment of contaminated, mislabeled, spoiled or otherwise deficient products, even if inadvertent, could result in a violation of law and lead to increased risk of exposure to product liability claims, product recall or withdrawal and scrutiny by federal, state and local regulatory agencies. We have little, if any, control over proper handling once the product has been shipped or delivered. In addition, products purchased from other producers could contain contaminants, or be spoiled, mislabeled or otherwise deficient that might be inadvertently redistributed or sold by us. This has occurred in the past and may occur in the future. As such, we might decide or be required to recall or withdraw a product if we, our customers or regulators believe it poses a potential health risk. Any shipment of deficient product or any action taken in response, such as a product recall or withdraw, could result in a loss of consumer confidence in our products, adversely affect our reputation with existing and potential customers and have a material adverse effect on our business, results of operations and financial condition. We currently maintain insurance with respect to certain of these risks, including product liability insurance, business interruption insurance, product recall insurance and general liability insurance, but in many cases such insurance is expensive and difficult to obtain, and no assurance can be given that such insurance can be maintained in the future on acceptable terms or in sufficient amounts to protect us against losses due to any such events,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highly competitive.</w:t>
      </w:r>
    </w:p>
    <w:p>
      <w:pPr>
        <w:spacing w:after="0" w:line="20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The production and sale of fresh shell eggs, which accounted for 94.3% to 95.3% of our net sales in our last three fiscal years, is intensely competitive. We compete with a large number of competitors that may prove to be more successful than we are in producing, marketing and selling shell eggs. We cannot provide assurance that we will be able to compete successfully with any or all of these companies. Increased competition could result in price reductions, greater cyclicality, reduced margins and loss of market share, which would negatively affect our business, results of operations, and financial condition.</w:t>
      </w:r>
    </w:p>
    <w:p>
      <w:pPr>
        <w:spacing w:after="0" w:line="17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In addition, our growth strategy includes expansion of our product offerings including prepared foods. The prepared foods business is intensely competitive and includes competition from other prepared food companies and other suppliers of prepared and convenience foods, including restaurants, grocery stores and convenience stores, many of which have more experience operating prepared and convenience foods businesses. In response to these competitive pressures, we may have to reduce the prices of our products, or increase or reallocate our spending on marketing, advertising and promotional activity. Competitive pressures may also restrict our ability to increase prices, including in response to commodity and other input cost increases. Our profits could decrease if either a reduction in prices or increase in costs without comparable increase in price is not offset with</w:t>
      </w:r>
    </w:p>
    <w:p>
      <w:pPr>
        <w:sectPr>
          <w:pgSz w:w="11900" w:h="16838" w:orient="portrait"/>
          <w:cols w:equalWidth="0" w:num="1">
            <w:col w:w="9280"/>
          </w:cols>
          <w:pgMar w:left="1320" w:top="309"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280"/>
          </w:cols>
          <w:pgMar w:left="1320" w:top="309" w:right="129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40" w:right="60"/>
        <w:spacing w:after="0" w:line="283" w:lineRule="auto"/>
        <w:rPr>
          <w:sz w:val="20"/>
          <w:szCs w:val="20"/>
          <w:color w:val="auto"/>
        </w:rPr>
      </w:pPr>
      <w:r>
        <w:rPr>
          <w:rFonts w:ascii="Times New Roman" w:cs="Times New Roman" w:eastAsia="Times New Roman" w:hAnsi="Times New Roman"/>
          <w:sz w:val="18"/>
          <w:szCs w:val="18"/>
          <w:color w:val="auto"/>
        </w:rPr>
        <w:t>increased sales volume. Alternatively, if we do not reduce our prices or increase our prices, as applicable, and our competitors seek advantage through pricing or promotional changes, our revenues and market share could be adversely affected.</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is a summary of our second quarter 2026 share repurchases: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gridSpan w:val="14"/>
          </w:tcPr>
          <w:p>
            <w:pPr>
              <w:ind w:left="13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Maximum Approximate</w:t>
            </w: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20" w:type="dxa"/>
            <w:vAlign w:val="bottom"/>
          </w:tcPr>
          <w:p>
            <w:pPr>
              <w:spacing w:after="0"/>
              <w:rPr>
                <w:sz w:val="19"/>
                <w:szCs w:val="19"/>
                <w:color w:val="auto"/>
              </w:rPr>
            </w:pPr>
          </w:p>
        </w:tc>
      </w:tr>
      <w:tr>
        <w:trPr>
          <w:trHeight w:val="230"/>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 that May Yet</w:t>
            </w: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 Purchased Under</w:t>
            </w:r>
          </w:p>
        </w:tc>
        <w:tc>
          <w:tcPr>
            <w:tcW w:w="20" w:type="dxa"/>
            <w:vAlign w:val="bottom"/>
          </w:tcPr>
          <w:p>
            <w:pPr>
              <w:spacing w:after="0"/>
              <w:rPr>
                <w:sz w:val="19"/>
                <w:szCs w:val="19"/>
                <w:color w:val="auto"/>
              </w:rPr>
            </w:pPr>
          </w:p>
        </w:tc>
      </w:tr>
      <w:tr>
        <w:trPr>
          <w:trHeight w:val="226"/>
        </w:trPr>
        <w:tc>
          <w:tcPr>
            <w:tcW w:w="1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the Plans or Programs (a)</w:t>
            </w:r>
          </w:p>
        </w:tc>
        <w:tc>
          <w:tcPr>
            <w:tcW w:w="20" w:type="dxa"/>
            <w:vAlign w:val="bottom"/>
          </w:tcPr>
          <w:p>
            <w:pPr>
              <w:spacing w:after="0"/>
              <w:rPr>
                <w:sz w:val="19"/>
                <w:szCs w:val="19"/>
                <w:color w:val="auto"/>
              </w:rPr>
            </w:pPr>
          </w:p>
        </w:tc>
      </w:tr>
      <w:tr>
        <w:trPr>
          <w:trHeight w:val="223"/>
        </w:trPr>
        <w:tc>
          <w:tcPr>
            <w:tcW w:w="1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08/31/25 to 09/27/25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1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09/28/25 to 10/25/25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5"/>
              </w:rPr>
              <w:t>241,483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428,038,125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6"/>
        </w:trPr>
        <w:tc>
          <w:tcPr>
            <w:tcW w:w="1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10/26/25 to 11/29/25</w:t>
            </w:r>
          </w:p>
        </w:tc>
        <w:tc>
          <w:tcPr>
            <w:tcW w:w="60" w:type="dxa"/>
            <w:vAlign w:val="bottom"/>
            <w:tcBorders>
              <w:bottom w:val="single" w:sz="8" w:color="CCEEFF"/>
            </w:tcBorders>
            <w:gridSpan w:val="3"/>
          </w:tcPr>
          <w:p>
            <w:pPr>
              <w:spacing w:after="0"/>
              <w:rPr>
                <w:sz w:val="20"/>
                <w:szCs w:val="20"/>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604,554</w:t>
            </w: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87.47</w:t>
            </w:r>
          </w:p>
        </w:tc>
        <w:tc>
          <w:tcPr>
            <w:tcW w:w="20" w:type="dxa"/>
            <w:vAlign w:val="bottom"/>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604,554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375,157,877</w:t>
            </w:r>
          </w:p>
        </w:tc>
        <w:tc>
          <w:tcPr>
            <w:tcW w:w="20" w:type="dxa"/>
            <w:vAlign w:val="bottom"/>
          </w:tcPr>
          <w:p>
            <w:pPr>
              <w:spacing w:after="0"/>
              <w:rPr>
                <w:sz w:val="20"/>
                <w:szCs w:val="20"/>
                <w:color w:val="auto"/>
              </w:rPr>
            </w:pP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gridSpan w:val="2"/>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846,037</w:t>
            </w:r>
          </w:p>
        </w:tc>
        <w:tc>
          <w:tcPr>
            <w:tcW w:w="80" w:type="dxa"/>
            <w:vAlign w:val="bottom"/>
            <w:shd w:val="clear" w:color="auto" w:fill="CCEEFF"/>
          </w:tcPr>
          <w:p>
            <w:pPr>
              <w:spacing w:after="0"/>
              <w:rPr>
                <w:sz w:val="20"/>
                <w:szCs w:val="20"/>
                <w:color w:val="auto"/>
              </w:rPr>
            </w:pPr>
          </w:p>
        </w:tc>
        <w:tc>
          <w:tcPr>
            <w:tcW w:w="80" w:type="dxa"/>
            <w:vAlign w:val="bottom"/>
            <w:gridSpan w:val="2"/>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0" w:type="dxa"/>
            <w:vAlign w:val="bottom"/>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gridSpan w:val="2"/>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5"/>
              </w:rPr>
              <w:t>846,037</w:t>
            </w:r>
          </w:p>
        </w:tc>
        <w:tc>
          <w:tcPr>
            <w:tcW w:w="80" w:type="dxa"/>
            <w:vAlign w:val="bottom"/>
            <w:shd w:val="clear" w:color="auto" w:fill="CCEEFF"/>
          </w:tcPr>
          <w:p>
            <w:pPr>
              <w:spacing w:after="0"/>
              <w:rPr>
                <w:sz w:val="20"/>
                <w:szCs w:val="20"/>
                <w:color w:val="auto"/>
              </w:rPr>
            </w:pPr>
          </w:p>
        </w:tc>
        <w:tc>
          <w:tcPr>
            <w:tcW w:w="40" w:type="dxa"/>
            <w:vAlign w:val="bottom"/>
            <w:gridSpan w:val="2"/>
            <w:shd w:val="clear" w:color="auto" w:fill="CCEEFF"/>
          </w:tcPr>
          <w:p>
            <w:pPr>
              <w:spacing w:after="0"/>
              <w:rPr>
                <w:sz w:val="20"/>
                <w:szCs w:val="20"/>
                <w:color w:val="auto"/>
              </w:rPr>
            </w:pPr>
          </w:p>
        </w:tc>
        <w:tc>
          <w:tcPr>
            <w:tcW w:w="60" w:type="dxa"/>
            <w:vAlign w:val="bottom"/>
            <w:gridSpan w:val="2"/>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375,157,877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left="40" w:right="40" w:firstLine="7"/>
        <w:spacing w:after="0" w:line="260" w:lineRule="auto"/>
        <w:tabs>
          <w:tab w:leader="none" w:pos="36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2025, the Company announced a $500 million share repurchase program. The share repurchase program authorizes the Company, in management’s discretion, to repurchase shares of Common Stock from time to time for an aggregate purchase price up to $500 million (exclusive of any fees, taxes, commissions or other expenses related to such repurchases), subject to market conditions and other factors. The share repurchase program does not obligate the Company to repurchase any specific amount of shares, does not have an expiration date, and may be suspended, modified or discontinued at any time without prior notice.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0" w:right="60"/>
        <w:spacing w:after="0" w:line="283" w:lineRule="auto"/>
        <w:rPr>
          <w:sz w:val="20"/>
          <w:szCs w:val="20"/>
          <w:color w:val="auto"/>
        </w:rPr>
      </w:pPr>
      <w:r>
        <w:rPr>
          <w:rFonts w:ascii="Times New Roman" w:cs="Times New Roman" w:eastAsia="Times New Roman" w:hAnsi="Times New Roman"/>
          <w:sz w:val="18"/>
          <w:szCs w:val="18"/>
          <w:color w:val="auto"/>
        </w:rPr>
        <w:t>During the second quarter of fiscal 2026, no director or officer of the Company adopted or terminated any Rule 10b5-1 trading arrangement or non-Rule 10b5-1 trading arrangement, as such terms are defined in Item 408(a) of Regulation S-K.</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7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4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18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line="182"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Echo Lake</w:t>
              </w:r>
            </w:hyperlink>
          </w:p>
        </w:tc>
        <w:tc>
          <w:tcPr>
            <w:tcW w:w="7000" w:type="dxa"/>
            <w:vAlign w:val="bottom"/>
            <w:gridSpan w:val="10"/>
            <w:shd w:val="clear" w:color="auto" w:fill="CCEEFF"/>
          </w:tcPr>
          <w:p>
            <w:pPr>
              <w:spacing w:after="0" w:line="182"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Foods Purchase Agreement (incorporated by reference to Exhibit 10.5 to the Registrant’s Form</w:t>
              </w:r>
            </w:hyperlink>
          </w:p>
        </w:tc>
      </w:tr>
      <w:tr>
        <w:trPr>
          <w:trHeight w:val="190"/>
        </w:trPr>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880" w:type="dxa"/>
            <w:vAlign w:val="bottom"/>
            <w:tcBorders>
              <w:top w:val="single" w:sz="8" w:color="0000FF"/>
              <w:bottom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10-Q, filed April 8, 2025)</w:t>
              </w:r>
            </w:hyperlink>
          </w:p>
        </w:tc>
        <w:tc>
          <w:tcPr>
            <w:tcW w:w="580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5"/>
        </w:trPr>
        <w:tc>
          <w:tcPr>
            <w:tcW w:w="40" w:type="dxa"/>
            <w:vAlign w:val="bottom"/>
          </w:tcPr>
          <w:p>
            <w:pPr>
              <w:spacing w:after="0"/>
              <w:rPr>
                <w:sz w:val="15"/>
                <w:szCs w:val="15"/>
                <w:color w:val="auto"/>
              </w:rPr>
            </w:pPr>
          </w:p>
        </w:tc>
        <w:tc>
          <w:tcPr>
            <w:tcW w:w="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180" w:type="dxa"/>
            <w:vAlign w:val="bottom"/>
          </w:tcPr>
          <w:p>
            <w:pPr>
              <w:spacing w:after="0"/>
              <w:rPr>
                <w:sz w:val="15"/>
                <w:szCs w:val="15"/>
                <w:color w:val="auto"/>
              </w:rPr>
            </w:pPr>
          </w:p>
        </w:tc>
        <w:tc>
          <w:tcPr>
            <w:tcW w:w="7840" w:type="dxa"/>
            <w:vAlign w:val="bottom"/>
            <w:gridSpan w:val="11"/>
          </w:tcPr>
          <w:p>
            <w:pPr>
              <w:spacing w:after="0" w:line="17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Fourth Amended and Restated Certificate of Incorporation of the Registrant (incorporated by reference to</w:t>
              </w:r>
            </w:hyperlink>
          </w:p>
        </w:tc>
      </w:tr>
      <w:tr>
        <w:trPr>
          <w:trHeight w:val="189"/>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70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Exhibit 4.1 in the Registrant’s Form S-3, filed April 15, 2025, Registration No. 333-286548)</w:t>
              </w:r>
            </w:hyperlink>
          </w:p>
        </w:tc>
        <w:tc>
          <w:tcPr>
            <w:tcW w:w="900" w:type="dxa"/>
            <w:vAlign w:val="bottom"/>
            <w:tcBorders>
              <w:top w:val="single" w:sz="8" w:color="0000FF"/>
            </w:tcBorders>
            <w:gridSpan w:val="2"/>
          </w:tcPr>
          <w:p>
            <w:pPr>
              <w:spacing w:after="0"/>
              <w:rPr>
                <w:sz w:val="16"/>
                <w:szCs w:val="16"/>
                <w:color w:val="auto"/>
              </w:rPr>
            </w:pPr>
          </w:p>
        </w:tc>
        <w:tc>
          <w:tcPr>
            <w:tcW w:w="240" w:type="dxa"/>
            <w:vAlign w:val="bottom"/>
            <w:gridSpan w:val="2"/>
          </w:tcPr>
          <w:p>
            <w:pPr>
              <w:spacing w:after="0"/>
              <w:rPr>
                <w:sz w:val="16"/>
                <w:szCs w:val="16"/>
                <w:color w:val="auto"/>
              </w:rPr>
            </w:pPr>
          </w:p>
        </w:tc>
      </w:tr>
      <w:tr>
        <w:trPr>
          <w:trHeight w:val="189"/>
        </w:trPr>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180" w:type="dxa"/>
            <w:vAlign w:val="bottom"/>
            <w:shd w:val="clear" w:color="auto" w:fill="CCEEFF"/>
          </w:tcPr>
          <w:p>
            <w:pPr>
              <w:spacing w:after="0"/>
              <w:rPr>
                <w:sz w:val="16"/>
                <w:szCs w:val="16"/>
                <w:color w:val="auto"/>
              </w:rPr>
            </w:pPr>
          </w:p>
        </w:tc>
        <w:tc>
          <w:tcPr>
            <w:tcW w:w="78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Amended and Restated Bylaws of the Registrant (incorporated by reference to Exhibit 3.2 to the</w:t>
              </w:r>
            </w:hyperlink>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6940" w:type="dxa"/>
            <w:vAlign w:val="bottom"/>
            <w:tcBorders>
              <w:top w:val="single" w:sz="8" w:color="0000FF"/>
            </w:tcBorders>
            <w:gridSpan w:val="8"/>
            <w:shd w:val="clear" w:color="auto" w:fill="CCEEFF"/>
          </w:tcPr>
          <w:p>
            <w:pPr>
              <w:spacing w:after="0" w:line="18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Registrant’s Form 8-K, filed March 27, 2025)</w:t>
              </w:r>
            </w:hyperlink>
          </w:p>
        </w:tc>
        <w:tc>
          <w:tcPr>
            <w:tcW w:w="900" w:type="dxa"/>
            <w:vAlign w:val="bottom"/>
            <w:tcBorders>
              <w:top w:val="single" w:sz="8" w:color="CCEEFF"/>
            </w:tcBorders>
            <w:gridSpan w:val="3"/>
            <w:shd w:val="clear" w:color="auto" w:fill="CCEEFF"/>
          </w:tcPr>
          <w:p>
            <w:pPr>
              <w:spacing w:after="0"/>
              <w:rPr>
                <w:sz w:val="15"/>
                <w:szCs w:val="15"/>
                <w:color w:val="auto"/>
              </w:rPr>
            </w:pPr>
          </w:p>
        </w:tc>
      </w:tr>
      <w:tr>
        <w:trPr>
          <w:trHeight w:val="27"/>
        </w:trPr>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1440" w:type="dxa"/>
            <w:vAlign w:val="bottom"/>
            <w:shd w:val="clear" w:color="auto" w:fill="0000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75"/>
        </w:trPr>
        <w:tc>
          <w:tcPr>
            <w:tcW w:w="40" w:type="dxa"/>
            <w:vAlign w:val="bottom"/>
          </w:tcPr>
          <w:p>
            <w:pPr>
              <w:spacing w:after="0"/>
              <w:rPr>
                <w:sz w:val="15"/>
                <w:szCs w:val="15"/>
                <w:color w:val="auto"/>
              </w:rPr>
            </w:pPr>
          </w:p>
        </w:tc>
        <w:tc>
          <w:tcPr>
            <w:tcW w:w="1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78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FF"/>
              </w:rPr>
              <w:t>Rule 13a-14(a) Certification of the Chief Executive Officer</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4240" w:type="dxa"/>
            <w:vAlign w:val="bottom"/>
            <w:tcBorders>
              <w:bottom w:val="single" w:sz="8" w:color="0000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Rule 13a-14(a) Certification of the Chief Financial Officer</w:t>
            </w:r>
          </w:p>
        </w:tc>
        <w:tc>
          <w:tcPr>
            <w:tcW w:w="3600" w:type="dxa"/>
            <w:vAlign w:val="bottom"/>
            <w:tcBorders>
              <w:bottom w:val="single" w:sz="8" w:color="CCEEFF"/>
            </w:tcBorders>
            <w:gridSpan w:val="7"/>
            <w:shd w:val="clear" w:color="auto" w:fill="CCEEFF"/>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1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6440" w:type="dxa"/>
            <w:vAlign w:val="bottom"/>
            <w:tcBorders>
              <w:bottom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w w:val="99"/>
              </w:rPr>
              <w:t>Section 1350 Certification of the Chief Executive Officer and the Chief Financial Officer</w:t>
            </w:r>
          </w:p>
        </w:tc>
        <w:tc>
          <w:tcPr>
            <w:tcW w:w="1400" w:type="dxa"/>
            <w:vAlign w:val="bottom"/>
            <w:gridSpan w:val="5"/>
          </w:tcPr>
          <w:p>
            <w:pPr>
              <w:spacing w:after="0"/>
              <w:rPr>
                <w:sz w:val="15"/>
                <w:szCs w:val="15"/>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78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03"/>
        </w:trPr>
        <w:tc>
          <w:tcPr>
            <w:tcW w:w="40" w:type="dxa"/>
            <w:vAlign w:val="bottom"/>
          </w:tcPr>
          <w:p>
            <w:pPr>
              <w:spacing w:after="0"/>
              <w:rPr>
                <w:sz w:val="17"/>
                <w:szCs w:val="17"/>
                <w:color w:val="auto"/>
              </w:rPr>
            </w:pPr>
          </w:p>
        </w:tc>
        <w:tc>
          <w:tcPr>
            <w:tcW w:w="1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784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784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784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03"/>
        </w:trPr>
        <w:tc>
          <w:tcPr>
            <w:tcW w:w="40" w:type="dxa"/>
            <w:vAlign w:val="bottom"/>
          </w:tcPr>
          <w:p>
            <w:pPr>
              <w:spacing w:after="0"/>
              <w:rPr>
                <w:sz w:val="17"/>
                <w:szCs w:val="17"/>
                <w:color w:val="auto"/>
              </w:rPr>
            </w:pPr>
          </w:p>
        </w:tc>
        <w:tc>
          <w:tcPr>
            <w:tcW w:w="1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784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16"/>
        </w:trPr>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7"/>
                <w:szCs w:val="17"/>
                <w:color w:val="auto"/>
              </w:rPr>
            </w:pPr>
          </w:p>
        </w:tc>
        <w:tc>
          <w:tcPr>
            <w:tcW w:w="784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auto"/>
              </w:rPr>
              <w:t>Filed herewith as an Exhibit.</w:t>
            </w:r>
          </w:p>
        </w:tc>
      </w:tr>
    </w:tbl>
    <w:p>
      <w:pPr>
        <w:ind w:left="1500" w:hanging="1453"/>
        <w:spacing w:after="0" w:line="234"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as an Exhibit.</w:t>
      </w:r>
    </w:p>
    <w:p>
      <w:pPr>
        <w:spacing w:after="0" w:line="1"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Submitted electronically with this Quarterly Report.</w:t>
      </w:r>
    </w:p>
    <w:p>
      <w:pPr>
        <w:sectPr>
          <w:pgSz w:w="11900" w:h="16838" w:orient="portrait"/>
          <w:cols w:equalWidth="0" w:num="1">
            <w:col w:w="9340"/>
          </w:cols>
          <w:pgMar w:left="1280" w:top="30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340"/>
          </w:cols>
          <w:pgMar w:left="1280" w:top="309" w:right="1279" w:bottom="1440" w:gutter="0" w:footer="0" w:header="0"/>
          <w:type w:val="continuous"/>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CAL-MAINE FOODS, INC.</w:t>
      </w:r>
    </w:p>
    <w:p>
      <w:pPr>
        <w:spacing w:after="0" w:line="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January 7, 2026</w:t>
      </w:r>
      <w:r>
        <w:rPr>
          <w:sz w:val="20"/>
          <w:szCs w:val="20"/>
          <w:color w:val="auto"/>
        </w:rPr>
        <w:tab/>
      </w:r>
      <w:r>
        <w:rPr>
          <w:rFonts w:ascii="Times New Roman" w:cs="Times New Roman" w:eastAsia="Times New Roman" w:hAnsi="Times New Roman"/>
          <w:sz w:val="17"/>
          <w:szCs w:val="17"/>
          <w:color w:val="auto"/>
        </w:rPr>
        <w:t>/s/ Max P. Bowman</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Max P. Bowman</w:t>
      </w:r>
    </w:p>
    <w:p>
      <w:pPr>
        <w:spacing w:after="0" w:line="5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1"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January 7, 2026</w:t>
      </w:r>
      <w:r>
        <w:rPr>
          <w:sz w:val="20"/>
          <w:szCs w:val="20"/>
          <w:color w:val="auto"/>
        </w:rPr>
        <w:tab/>
      </w:r>
      <w:r>
        <w:rPr>
          <w:rFonts w:ascii="Times New Roman" w:cs="Times New Roman" w:eastAsia="Times New Roman" w:hAnsi="Times New Roman"/>
          <w:sz w:val="18"/>
          <w:szCs w:val="18"/>
          <w:color w:val="auto"/>
        </w:rPr>
        <w:t>/s/ Matthew S. Glover</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Matthew S. Glover</w:t>
      </w:r>
    </w:p>
    <w:p>
      <w:pPr>
        <w:spacing w:after="0" w:line="5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 Accounting</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9240"/>
          </w:cols>
          <w:pgMar w:left="1320" w:top="30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240"/>
          </w:cols>
          <w:pgMar w:left="1320" w:top="309" w:right="1339" w:bottom="1440" w:gutter="0" w:footer="0" w:header="0"/>
          <w:type w:val="continuous"/>
        </w:sectPr>
      </w:pPr>
    </w:p>
    <w:bookmarkStart w:id="35" w:name="page36"/>
    <w:bookmarkEnd w:id="35"/>
    <w:p>
      <w:pPr>
        <w:ind w:left="830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 Sherman L. Miller, certify that:</w:t>
      </w:r>
    </w:p>
    <w:p>
      <w:pPr>
        <w:spacing w:after="0" w:line="225" w:lineRule="exact"/>
        <w:rPr>
          <w:sz w:val="20"/>
          <w:szCs w:val="20"/>
          <w:color w:val="auto"/>
        </w:rPr>
      </w:pPr>
    </w:p>
    <w:p>
      <w:pPr>
        <w:ind w:left="329" w:hanging="329"/>
        <w:spacing w:after="0"/>
        <w:tabs>
          <w:tab w:leader="none" w:pos="3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38" w:lineRule="exact"/>
        <w:rPr>
          <w:rFonts w:ascii="Times New Roman" w:cs="Times New Roman" w:eastAsia="Times New Roman" w:hAnsi="Times New Roman"/>
          <w:sz w:val="18"/>
          <w:szCs w:val="18"/>
          <w:color w:val="auto"/>
        </w:rPr>
      </w:pPr>
    </w:p>
    <w:p>
      <w:pPr>
        <w:ind w:left="329" w:right="80" w:hanging="329"/>
        <w:spacing w:after="0" w:line="259" w:lineRule="auto"/>
        <w:tabs>
          <w:tab w:leader="none" w:pos="3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Times New Roman" w:cs="Times New Roman" w:eastAsia="Times New Roman" w:hAnsi="Times New Roman"/>
          <w:sz w:val="18"/>
          <w:szCs w:val="18"/>
          <w:color w:val="auto"/>
        </w:rPr>
      </w:pPr>
    </w:p>
    <w:p>
      <w:pPr>
        <w:ind w:left="329" w:right="80" w:hanging="329"/>
        <w:spacing w:after="0" w:line="274" w:lineRule="auto"/>
        <w:tabs>
          <w:tab w:leader="none" w:pos="3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8"/>
          <w:szCs w:val="18"/>
          <w:color w:val="auto"/>
        </w:rPr>
      </w:pPr>
    </w:p>
    <w:p>
      <w:pPr>
        <w:jc w:val="both"/>
        <w:ind w:left="329" w:right="260" w:hanging="329"/>
        <w:spacing w:after="0" w:line="267" w:lineRule="auto"/>
        <w:tabs>
          <w:tab w:leader="none" w:pos="3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sz w:val="20"/>
          <w:szCs w:val="20"/>
          <w:color w:val="auto"/>
        </w:rPr>
      </w:pPr>
    </w:p>
    <w:p>
      <w:pPr>
        <w:ind w:left="569" w:right="240" w:hanging="245"/>
        <w:spacing w:after="0" w:line="261" w:lineRule="auto"/>
        <w:tabs>
          <w:tab w:leader="none" w:pos="5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sz w:val="20"/>
          <w:szCs w:val="20"/>
          <w:color w:val="auto"/>
        </w:rPr>
      </w:pPr>
    </w:p>
    <w:p>
      <w:pPr>
        <w:ind w:left="569" w:right="140" w:hanging="245"/>
        <w:spacing w:after="0" w:line="274"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sz w:val="20"/>
          <w:szCs w:val="20"/>
          <w:color w:val="auto"/>
        </w:rPr>
      </w:pPr>
    </w:p>
    <w:p>
      <w:pPr>
        <w:ind w:left="569" w:right="20" w:hanging="245"/>
        <w:spacing w:after="0" w:line="259" w:lineRule="auto"/>
        <w:tabs>
          <w:tab w:leader="none" w:pos="5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3" w:lineRule="exact"/>
        <w:rPr>
          <w:rFonts w:ascii="Times New Roman" w:cs="Times New Roman" w:eastAsia="Times New Roman" w:hAnsi="Times New Roman"/>
          <w:sz w:val="18"/>
          <w:szCs w:val="18"/>
          <w:color w:val="auto"/>
        </w:rPr>
      </w:pPr>
    </w:p>
    <w:p>
      <w:pPr>
        <w:ind w:left="569" w:right="140" w:hanging="245"/>
        <w:spacing w:after="0" w:line="261" w:lineRule="auto"/>
        <w:tabs>
          <w:tab w:leader="none" w:pos="60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29" w:hanging="329"/>
        <w:spacing w:after="0" w:line="259" w:lineRule="auto"/>
        <w:tabs>
          <w:tab w:leader="none" w:pos="3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3" w:lineRule="exact"/>
        <w:rPr>
          <w:rFonts w:ascii="Times New Roman" w:cs="Times New Roman" w:eastAsia="Times New Roman" w:hAnsi="Times New Roman"/>
          <w:sz w:val="18"/>
          <w:szCs w:val="18"/>
          <w:color w:val="auto"/>
        </w:rPr>
      </w:pPr>
    </w:p>
    <w:p>
      <w:pPr>
        <w:ind w:left="569" w:right="20" w:hanging="245"/>
        <w:spacing w:after="0" w:line="267" w:lineRule="auto"/>
        <w:tabs>
          <w:tab w:leader="none" w:pos="5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8"/>
          <w:szCs w:val="18"/>
          <w:color w:val="auto"/>
        </w:rPr>
      </w:pPr>
    </w:p>
    <w:p>
      <w:pPr>
        <w:ind w:left="569" w:right="320" w:hanging="245"/>
        <w:spacing w:after="0" w:line="299" w:lineRule="auto"/>
        <w:tabs>
          <w:tab w:leader="none" w:pos="5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 Sherman L. Miller</w:t>
      </w:r>
    </w:p>
    <w:p>
      <w:pPr>
        <w:spacing w:after="0" w:line="7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Sherman L. Miller</w:t>
      </w:r>
    </w:p>
    <w:p>
      <w:pPr>
        <w:spacing w:after="0" w:line="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9"/>
        <w:spacing w:after="0"/>
        <w:tabs>
          <w:tab w:leader="none" w:pos="689"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7, 2026</w:t>
      </w:r>
    </w:p>
    <w:p>
      <w:pPr>
        <w:sectPr>
          <w:pgSz w:w="11900" w:h="16838" w:orient="portrait"/>
          <w:cols w:equalWidth="0" w:num="1">
            <w:col w:w="9249"/>
          </w:cols>
          <w:pgMar w:left="1331" w:top="29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249"/>
          </w:cols>
          <w:pgMar w:left="1331" w:top="291" w:right="1319" w:bottom="1440" w:gutter="0" w:footer="0" w:header="0"/>
          <w:type w:val="continuous"/>
        </w:sectPr>
      </w:pPr>
    </w:p>
    <w:bookmarkStart w:id="36" w:name="page37"/>
    <w:bookmarkEnd w:id="36"/>
    <w:p>
      <w:pPr>
        <w:ind w:left="830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 Max P. Bowman, certify that</w:t>
      </w:r>
    </w:p>
    <w:p>
      <w:pPr>
        <w:spacing w:after="0" w:line="225" w:lineRule="exact"/>
        <w:rPr>
          <w:sz w:val="20"/>
          <w:szCs w:val="20"/>
          <w:color w:val="auto"/>
        </w:rPr>
      </w:pPr>
    </w:p>
    <w:p>
      <w:pPr>
        <w:ind w:left="329" w:hanging="329"/>
        <w:spacing w:after="0"/>
        <w:tabs>
          <w:tab w:leader="none" w:pos="3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29" w:right="80" w:hanging="329"/>
        <w:spacing w:after="0" w:line="274" w:lineRule="auto"/>
        <w:tabs>
          <w:tab w:leader="none" w:pos="3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8"/>
          <w:szCs w:val="18"/>
          <w:color w:val="auto"/>
        </w:rPr>
      </w:pPr>
    </w:p>
    <w:p>
      <w:pPr>
        <w:ind w:left="329" w:right="80" w:hanging="329"/>
        <w:spacing w:after="0" w:line="267" w:lineRule="auto"/>
        <w:tabs>
          <w:tab w:leader="none" w:pos="3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Times New Roman" w:cs="Times New Roman" w:eastAsia="Times New Roman" w:hAnsi="Times New Roman"/>
          <w:sz w:val="18"/>
          <w:szCs w:val="18"/>
          <w:color w:val="auto"/>
        </w:rPr>
      </w:pPr>
    </w:p>
    <w:p>
      <w:pPr>
        <w:jc w:val="both"/>
        <w:ind w:left="329" w:right="260" w:hanging="329"/>
        <w:spacing w:after="0" w:line="259" w:lineRule="auto"/>
        <w:tabs>
          <w:tab w:leader="none" w:pos="3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Times New Roman" w:cs="Times New Roman" w:eastAsia="Times New Roman" w:hAnsi="Times New Roman"/>
          <w:sz w:val="18"/>
          <w:szCs w:val="18"/>
          <w:color w:val="auto"/>
        </w:rPr>
      </w:pPr>
    </w:p>
    <w:p>
      <w:pPr>
        <w:ind w:left="649" w:right="160" w:hanging="325"/>
        <w:spacing w:after="0" w:line="261" w:lineRule="auto"/>
        <w:tabs>
          <w:tab w:leader="none" w:pos="64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8"/>
          <w:szCs w:val="18"/>
          <w:color w:val="auto"/>
        </w:rPr>
      </w:pPr>
    </w:p>
    <w:p>
      <w:pPr>
        <w:ind w:left="649" w:right="80" w:hanging="325"/>
        <w:spacing w:after="0" w:line="281" w:lineRule="auto"/>
        <w:tabs>
          <w:tab w:leader="none" w:pos="64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7"/>
          <w:szCs w:val="17"/>
          <w:color w:val="auto"/>
        </w:rPr>
      </w:pPr>
    </w:p>
    <w:p>
      <w:pPr>
        <w:ind w:left="649" w:right="260" w:hanging="325"/>
        <w:spacing w:after="0" w:line="267" w:lineRule="auto"/>
        <w:tabs>
          <w:tab w:leader="none" w:pos="64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8"/>
          <w:szCs w:val="18"/>
          <w:color w:val="auto"/>
        </w:rPr>
      </w:pPr>
    </w:p>
    <w:p>
      <w:pPr>
        <w:ind w:left="649" w:right="60" w:hanging="325"/>
        <w:spacing w:after="0" w:line="261" w:lineRule="auto"/>
        <w:tabs>
          <w:tab w:leader="none" w:pos="64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8"/>
          <w:szCs w:val="18"/>
          <w:color w:val="auto"/>
        </w:rPr>
      </w:pPr>
    </w:p>
    <w:p>
      <w:pPr>
        <w:ind w:left="329" w:hanging="329"/>
        <w:spacing w:after="0" w:line="267" w:lineRule="auto"/>
        <w:tabs>
          <w:tab w:leader="none" w:pos="3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8"/>
          <w:szCs w:val="18"/>
          <w:color w:val="auto"/>
        </w:rPr>
      </w:pPr>
    </w:p>
    <w:p>
      <w:pPr>
        <w:ind w:left="649" w:right="420" w:hanging="325"/>
        <w:spacing w:after="0" w:line="274" w:lineRule="auto"/>
        <w:tabs>
          <w:tab w:leader="none" w:pos="64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649" w:right="240" w:hanging="325"/>
        <w:spacing w:after="0" w:line="283" w:lineRule="auto"/>
        <w:tabs>
          <w:tab w:leader="none" w:pos="64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 Max P. Bowman</w:t>
      </w:r>
    </w:p>
    <w:p>
      <w:pPr>
        <w:spacing w:after="0" w:line="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Max P. Bowman</w:t>
      </w:r>
    </w:p>
    <w:p>
      <w:pPr>
        <w:spacing w:after="0" w:line="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63" w:lineRule="exact"/>
        <w:rPr>
          <w:sz w:val="20"/>
          <w:szCs w:val="20"/>
          <w:color w:val="auto"/>
        </w:rPr>
      </w:pPr>
    </w:p>
    <w:p>
      <w:pPr>
        <w:ind w:left="9"/>
        <w:spacing w:after="0"/>
        <w:tabs>
          <w:tab w:leader="none" w:pos="629" w:val="left"/>
        </w:tabs>
        <w:rPr>
          <w:sz w:val="20"/>
          <w:szCs w:val="20"/>
          <w:color w:val="auto"/>
        </w:rPr>
      </w:pPr>
      <w:r>
        <w:rPr>
          <w:rFonts w:ascii="Times New Roman" w:cs="Times New Roman" w:eastAsia="Times New Roman" w:hAnsi="Times New Roman"/>
          <w:sz w:val="18"/>
          <w:szCs w:val="18"/>
          <w:color w:val="auto"/>
        </w:rPr>
        <w:t>Date:</w:t>
        <w:tab/>
        <w:t>January 7, 2026</w:t>
      </w:r>
    </w:p>
    <w:p>
      <w:pPr>
        <w:sectPr>
          <w:pgSz w:w="11900" w:h="16838" w:orient="portrait"/>
          <w:cols w:equalWidth="0" w:num="1">
            <w:col w:w="9249"/>
          </w:cols>
          <w:pgMar w:left="1331" w:top="29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249"/>
          </w:cols>
          <w:pgMar w:left="1331" w:top="291" w:right="131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 Pursuant to 18 U.S.C. §1350,</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Solely for the purposes of complying with 18 U.S.C. §1350, as adopted pursuant to Section 906 of the Sarbanes-Oxley Act of 2002, we, the undersigned Chief Executive Officer and Chief Financial Officer of Cal-Maine Foods, Inc. (the “Company”), hereby certify, based on our knowledge, that the Quarterly Report on Form 10-Q of the Company for the quarter ended November 29, 2025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L. Miller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L. Miller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3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7, 2026</w:t>
      </w:r>
    </w:p>
    <w:p>
      <w:pPr>
        <w:sectPr>
          <w:pgSz w:w="11900" w:h="16838" w:orient="portrait"/>
          <w:cols w:equalWidth="0" w:num="1">
            <w:col w:w="9240"/>
          </w:cols>
          <w:pgMar w:left="1340" w:top="29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240"/>
          </w:cols>
          <w:pgMar w:left="1340" w:top="291" w:right="1319" w:bottom="1440" w:gutter="0" w:footer="0" w:header="0"/>
          <w:type w:val="continuous"/>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3"/>
    </w:lvl>
  </w:abstractNum>
  <w:abstractNum w:abstractNumId="21">
    <w:nsid w:val="2443A858"/>
    <w:multiLevelType w:val="hybridMultilevel"/>
    <w:lvl w:ilvl="0">
      <w:lvlJc w:val="left"/>
      <w:lvlText w:val="%1."/>
      <w:numFmt w:val="decimal"/>
      <w:start w:val="5"/>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2" Type="http://schemas.openxmlformats.org/officeDocument/2006/relationships/hyperlink" Target="http://www.sec.gov/Archives/edgar/data/16160/000156276225000084/exhibit105.htm" TargetMode="External"/><Relationship Id="rId43" Type="http://schemas.openxmlformats.org/officeDocument/2006/relationships/hyperlink" Target="http://www.sec.gov/Archives/edgar/data/16160/000121390025032111/ea023811801ex4-1_calmaine.htm" TargetMode="External"/><Relationship Id="rId44" Type="http://schemas.openxmlformats.org/officeDocument/2006/relationships/hyperlink" Target="http://www.sec.gov/Archives/edgar/data/16160/000156276225000058/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2026-01-07T05:52:06Z</dcterms:created>
  <dcterms:modified xsi:type="dcterms:W3CDTF">2026-01-07T05:52:06Z</dcterms:modified>
</cp:coreProperties>
</file>