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320" w:firstLine="7"/>
        <w:spacing w:after="0" w:line="281"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December 2, 2023</w:t>
      </w:r>
    </w:p>
    <w:p>
      <w:pPr>
        <w:spacing w:after="0" w:line="1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right="2260" w:firstLine="7"/>
        <w:spacing w:after="0" w:line="190" w:lineRule="auto"/>
        <w:tabs>
          <w:tab w:leader="none" w:pos="661"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4" w:lineRule="exact"/>
        <w:rPr>
          <w:sz w:val="24"/>
          <w:szCs w:val="24"/>
          <w:color w:val="auto"/>
        </w:rPr>
      </w:pPr>
    </w:p>
    <w:p>
      <w:pPr>
        <w:ind w:left="178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64-0500378</w:t>
      </w:r>
    </w:p>
    <w:p>
      <w:pPr>
        <w:spacing w:after="0" w:line="54" w:lineRule="exact"/>
        <w:rPr>
          <w:sz w:val="24"/>
          <w:szCs w:val="24"/>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p>
      <w:pPr>
        <w:spacing w:after="0" w:line="31" w:lineRule="exact"/>
        <w:rPr>
          <w:sz w:val="24"/>
          <w:szCs w:val="24"/>
          <w:color w:val="auto"/>
        </w:rPr>
      </w:pPr>
    </w:p>
    <w:p>
      <w:pPr>
        <w:ind w:left="2360"/>
        <w:spacing w:after="0"/>
        <w:tabs>
          <w:tab w:leader="none" w:pos="606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9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(601) 948-6813</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6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20"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w:t>
      </w:r>
    </w:p>
    <w:p>
      <w:pPr>
        <w:spacing w:after="0" w:line="1" w:lineRule="exact"/>
        <w:rPr>
          <w:sz w:val="24"/>
          <w:szCs w:val="24"/>
          <w:color w:val="auto"/>
        </w:rPr>
      </w:pPr>
    </w:p>
    <w:p>
      <w:pPr>
        <w:spacing w:after="0" w:line="207" w:lineRule="exact"/>
        <w:tabs>
          <w:tab w:leader="none" w:pos="7360" w:val="left"/>
        </w:tabs>
        <w:rPr>
          <w:sz w:val="20"/>
          <w:szCs w:val="20"/>
          <w:color w:val="auto"/>
        </w:rPr>
      </w:pPr>
      <w:r>
        <w:rPr>
          <w:rFonts w:ascii="Times New Roman" w:cs="Times New Roman" w:eastAsia="Times New Roman" w:hAnsi="Times New Roman"/>
          <w:sz w:val="18"/>
          <w:szCs w:val="18"/>
          <w:color w:val="auto"/>
        </w:rPr>
        <w:t xml:space="preserve">file such reports), and (2)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Times New Roman" w:cs="Times New Roman" w:eastAsia="Times New Roman" w:hAnsi="Times New Roman"/>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6140"/>
        <w:spacing w:after="0" w:line="207" w:lineRule="exact"/>
        <w:tabs>
          <w:tab w:leader="none" w:pos="8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4" w:lineRule="exact"/>
        <w:rPr>
          <w:sz w:val="24"/>
          <w:szCs w:val="24"/>
          <w:color w:val="auto"/>
        </w:rPr>
      </w:pPr>
    </w:p>
    <w:p>
      <w:pPr>
        <w:ind w:right="920"/>
        <w:spacing w:after="0" w:line="22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w:t>
      </w:r>
    </w:p>
    <w:p>
      <w:pPr>
        <w:spacing w:after="0" w:line="2" w:lineRule="exact"/>
        <w:rPr>
          <w:sz w:val="24"/>
          <w:szCs w:val="24"/>
          <w:color w:val="auto"/>
        </w:rPr>
      </w:pPr>
    </w:p>
    <w:p>
      <w:pPr>
        <w:ind w:right="700"/>
        <w:spacing w:after="0" w:line="239" w:lineRule="exact"/>
        <w:rPr>
          <w:sz w:val="20"/>
          <w:szCs w:val="20"/>
          <w:color w:val="auto"/>
        </w:rPr>
      </w:pPr>
      <w:r>
        <w:rPr>
          <w:rFonts w:ascii="Times New Roman" w:cs="Times New Roman" w:eastAsia="Times New Roman" w:hAnsi="Times New Roman"/>
          <w:sz w:val="18"/>
          <w:szCs w:val="18"/>
          <w:color w:val="auto"/>
        </w:rPr>
        <w:t xml:space="preserve">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w:t>
      </w:r>
    </w:p>
    <w:p>
      <w:pPr>
        <w:spacing w:after="0" w:line="2" w:lineRule="exact"/>
        <w:rPr>
          <w:sz w:val="24"/>
          <w:szCs w:val="24"/>
          <w:color w:val="auto"/>
        </w:rPr>
      </w:pPr>
    </w:p>
    <w:p>
      <w:pPr>
        <w:jc w:val="center"/>
        <w:ind w:right="40"/>
        <w:spacing w:after="0" w:line="403"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28"/>
          <w:szCs w:val="28"/>
          <w:color w:val="auto"/>
          <w:vertAlign w:val="superscript"/>
        </w:rPr>
        <w:t>☑</w:t>
      </w:r>
    </w:p>
    <w:p>
      <w:pPr>
        <w:spacing w:after="0" w:line="77"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were 44,182,613 shares of Common Stock, $0.01 par value, and 4,800,000 shares of Class A Common Stock, $0.01 par value, outstanding as of January 3, 2024.</w:t>
      </w:r>
    </w:p>
    <w:p>
      <w:pPr>
        <w:sectPr>
          <w:pgSz w:w="11900" w:h="16838" w:orient="portrait"/>
          <w:cols w:equalWidth="0" w:num="1">
            <w:col w:w="9300"/>
          </w:cols>
          <w:pgMar w:left="1320" w:top="419" w:right="1279" w:bottom="1440" w:gutter="0" w:footer="0" w:header="0"/>
        </w:sectPr>
      </w:pPr>
    </w:p>
    <w:p>
      <w:pPr>
        <w:spacing w:after="0" w:line="3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20" w:top="419" w:right="1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80" w:type="dxa"/>
            <w:vAlign w:val="bottom"/>
            <w:gridSpan w:val="16"/>
          </w:tcPr>
          <w:p>
            <w:pPr>
              <w:ind w:left="100"/>
              <w:spacing w:after="0"/>
              <w:rPr>
                <w:sz w:val="20"/>
                <w:szCs w:val="20"/>
                <w:color w:val="auto"/>
              </w:rPr>
            </w:pPr>
            <w:r>
              <w:rPr>
                <w:rFonts w:ascii="Times New Roman" w:cs="Times New Roman" w:eastAsia="Times New Roman" w:hAnsi="Times New Roman"/>
                <w:sz w:val="18"/>
                <w:szCs w:val="18"/>
                <w:color w:val="0000FF"/>
              </w:rPr>
              <w:t>Index</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196"/>
        </w:trPr>
        <w:tc>
          <w:tcPr>
            <w:tcW w:w="1560" w:type="dxa"/>
            <w:vAlign w:val="bottom"/>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tcBorders>
              <w:right w:val="single" w:sz="8" w:color="CCEEFF"/>
            </w:tcBorders>
            <w:shd w:val="clear" w:color="auto" w:fill="CCEEFF"/>
          </w:tcPr>
          <w:p>
            <w:pPr>
              <w:spacing w:after="0"/>
              <w:rPr>
                <w:sz w:val="17"/>
                <w:szCs w:val="17"/>
                <w:color w:val="auto"/>
              </w:rPr>
            </w:pPr>
          </w:p>
        </w:tc>
        <w:tc>
          <w:tcPr>
            <w:tcW w:w="666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60" w:type="dxa"/>
            <w:vAlign w:val="bottom"/>
            <w:gridSpan w:val="3"/>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right w:val="single" w:sz="8" w:color="CCEEFF"/>
            </w:tcBorders>
            <w:shd w:val="clear" w:color="auto" w:fill="CCEEFF"/>
          </w:tcPr>
          <w:p>
            <w:pPr>
              <w:spacing w:after="0"/>
              <w:rPr>
                <w:sz w:val="15"/>
                <w:szCs w:val="15"/>
                <w:color w:val="auto"/>
              </w:rPr>
            </w:pPr>
          </w:p>
        </w:tc>
        <w:tc>
          <w:tcPr>
            <w:tcW w:w="66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3080" w:type="dxa"/>
            <w:vAlign w:val="bottom"/>
            <w:tcBorders>
              <w:bottom w:val="single" w:sz="8" w:color="0000FF"/>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Condensed Consolidated Balance Sheets -</w:t>
            </w:r>
          </w:p>
        </w:tc>
        <w:tc>
          <w:tcPr>
            <w:tcW w:w="3280" w:type="dxa"/>
            <w:vAlign w:val="bottom"/>
            <w:tcBorders>
              <w:bottom w:val="single" w:sz="8" w:color="CCEEFF"/>
            </w:tcBorders>
            <w:gridSpan w:val="11"/>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88"/>
        </w:trPr>
        <w:tc>
          <w:tcPr>
            <w:tcW w:w="6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6360" w:type="dxa"/>
            <w:vAlign w:val="bottom"/>
            <w:gridSpan w:val="22"/>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December 2, 2023 and June 3, 2023</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360" w:type="dxa"/>
            <w:vAlign w:val="bottom"/>
            <w:tcBorders>
              <w:top w:val="single" w:sz="8" w:color="CCEEFF"/>
            </w:tcBorders>
            <w:gridSpan w:val="22"/>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3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w:t>
            </w: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6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6360" w:type="dxa"/>
            <w:vAlign w:val="bottom"/>
            <w:gridSpan w:val="2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Thirteen and Twenty-six Weeks Ended December 2, 2023 and November 26, 2022</w:t>
            </w: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00" w:type="dxa"/>
            <w:vAlign w:val="bottom"/>
            <w:tcBorders>
              <w:right w:val="single" w:sz="8" w:color="CCEEFF"/>
            </w:tcBorders>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360" w:type="dxa"/>
            <w:vAlign w:val="bottom"/>
            <w:tcBorders>
              <w:top w:val="single" w:sz="8" w:color="CCEEFF"/>
            </w:tcBorders>
            <w:gridSpan w:val="22"/>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4680" w:type="dxa"/>
            <w:vAlign w:val="bottom"/>
            <w:tcBorders>
              <w:bottom w:val="single" w:sz="8" w:color="0000FF"/>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w:t>
            </w:r>
          </w:p>
        </w:tc>
        <w:tc>
          <w:tcPr>
            <w:tcW w:w="168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88"/>
        </w:trPr>
        <w:tc>
          <w:tcPr>
            <w:tcW w:w="6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6360" w:type="dxa"/>
            <w:vAlign w:val="bottom"/>
            <w:gridSpan w:val="22"/>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Twenty-six Weeks Ended December 2, 2023 and November 26, 2022</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360" w:type="dxa"/>
            <w:vAlign w:val="bottom"/>
            <w:tcBorders>
              <w:top w:val="single" w:sz="8" w:color="CCEEFF"/>
            </w:tcBorders>
            <w:gridSpan w:val="22"/>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3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6360" w:type="dxa"/>
            <w:vAlign w:val="bottom"/>
            <w:gridSpan w:val="2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Twenty-six Weeks Ended December 2, 2023 and November 26, 2022</w:t>
            </w: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00" w:type="dxa"/>
            <w:vAlign w:val="bottom"/>
            <w:tcBorders>
              <w:right w:val="single" w:sz="8" w:color="CCEEFF"/>
            </w:tcBorders>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360" w:type="dxa"/>
            <w:vAlign w:val="bottom"/>
            <w:tcBorders>
              <w:top w:val="single" w:sz="8" w:color="CCEEFF"/>
            </w:tcBorders>
            <w:gridSpan w:val="22"/>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c>
          <w:tcPr>
            <w:tcW w:w="7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6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6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right w:val="single" w:sz="8" w:color="CCEEFF"/>
            </w:tcBorders>
            <w:shd w:val="clear" w:color="auto" w:fill="CCEEFF"/>
          </w:tcPr>
          <w:p>
            <w:pPr>
              <w:spacing w:after="0"/>
              <w:rPr>
                <w:sz w:val="15"/>
                <w:szCs w:val="15"/>
                <w:color w:val="auto"/>
              </w:rPr>
            </w:pPr>
          </w:p>
        </w:tc>
        <w:tc>
          <w:tcPr>
            <w:tcW w:w="63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CCEE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6360" w:type="dxa"/>
            <w:vAlign w:val="bottom"/>
            <w:gridSpan w:val="22"/>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360" w:type="dxa"/>
            <w:vAlign w:val="bottom"/>
            <w:tcBorders>
              <w:top w:val="single" w:sz="8" w:color="CCEEFF"/>
            </w:tcBorders>
            <w:gridSpan w:val="22"/>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c>
          <w:tcPr>
            <w:tcW w:w="7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60" w:type="dxa"/>
            <w:vAlign w:val="bottom"/>
            <w:gridSpan w:val="3"/>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Borders>
              <w:right w:val="single" w:sz="8" w:color="CCEEFF"/>
            </w:tcBorders>
            <w:shd w:val="clear" w:color="auto" w:fill="CCEEFF"/>
          </w:tcPr>
          <w:p>
            <w:pPr>
              <w:spacing w:after="0"/>
              <w:rPr>
                <w:sz w:val="15"/>
                <w:szCs w:val="15"/>
                <w:color w:val="auto"/>
              </w:rPr>
            </w:pPr>
          </w:p>
        </w:tc>
        <w:tc>
          <w:tcPr>
            <w:tcW w:w="66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60" w:type="dxa"/>
            <w:vAlign w:val="bottom"/>
            <w:gridSpan w:val="3"/>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tcBorders>
              <w:right w:val="single" w:sz="8" w:color="CCEEFF"/>
            </w:tcBorders>
            <w:shd w:val="clear" w:color="auto" w:fill="CCEEFF"/>
          </w:tcPr>
          <w:p>
            <w:pPr>
              <w:spacing w:after="0"/>
              <w:rPr>
                <w:sz w:val="15"/>
                <w:szCs w:val="15"/>
                <w:color w:val="auto"/>
              </w:rPr>
            </w:pPr>
          </w:p>
        </w:tc>
        <w:tc>
          <w:tcPr>
            <w:tcW w:w="66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36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II.</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gridSpan w:val="3"/>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right w:val="single" w:sz="8" w:color="CCEEFF"/>
            </w:tcBorders>
            <w:shd w:val="clear" w:color="auto" w:fill="CCEEFF"/>
          </w:tcPr>
          <w:p>
            <w:pPr>
              <w:spacing w:after="0"/>
              <w:rPr>
                <w:sz w:val="16"/>
                <w:szCs w:val="16"/>
                <w:color w:val="auto"/>
              </w:rPr>
            </w:pPr>
          </w:p>
        </w:tc>
        <w:tc>
          <w:tcPr>
            <w:tcW w:w="1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320" w:type="dxa"/>
            <w:vAlign w:val="bottom"/>
            <w:gridSpan w:val="21"/>
            <w:shd w:val="clear" w:color="auto" w:fill="CCEEFF"/>
          </w:tcPr>
          <w:p>
            <w:pPr>
              <w:spacing w:after="0"/>
              <w:rPr>
                <w:sz w:val="16"/>
                <w:szCs w:val="16"/>
                <w:color w:val="auto"/>
              </w:rPr>
            </w:pPr>
          </w:p>
        </w:tc>
        <w:tc>
          <w:tcPr>
            <w:tcW w:w="96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10"/>
        </w:trPr>
        <w:tc>
          <w:tcPr>
            <w:tcW w:w="14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3"/>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60" w:type="dxa"/>
            <w:vAlign w:val="bottom"/>
            <w:gridSpan w:val="3"/>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80" w:type="dxa"/>
            <w:vAlign w:val="bottom"/>
            <w:tcBorders>
              <w:right w:val="single" w:sz="8" w:color="CCEEFF"/>
            </w:tcBorders>
            <w:shd w:val="clear" w:color="auto" w:fill="CCEEFF"/>
          </w:tcPr>
          <w:p>
            <w:pPr>
              <w:spacing w:after="0"/>
              <w:rPr>
                <w:sz w:val="15"/>
                <w:szCs w:val="15"/>
                <w:color w:val="auto"/>
              </w:rPr>
            </w:pPr>
          </w:p>
        </w:tc>
        <w:tc>
          <w:tcPr>
            <w:tcW w:w="66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3"/>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60" w:type="dxa"/>
            <w:vAlign w:val="bottom"/>
            <w:gridSpan w:val="3"/>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right w:val="single" w:sz="8" w:color="CCEEFF"/>
            </w:tcBorders>
            <w:shd w:val="clear" w:color="auto" w:fill="CCEEFF"/>
          </w:tcPr>
          <w:p>
            <w:pPr>
              <w:spacing w:after="0"/>
              <w:rPr>
                <w:sz w:val="15"/>
                <w:szCs w:val="15"/>
                <w:color w:val="auto"/>
              </w:rPr>
            </w:pPr>
          </w:p>
        </w:tc>
        <w:tc>
          <w:tcPr>
            <w:tcW w:w="4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320" w:type="dxa"/>
            <w:vAlign w:val="bottom"/>
            <w:gridSpan w:val="6"/>
            <w:shd w:val="clear" w:color="auto" w:fill="CCEEFF"/>
          </w:tcPr>
          <w:p>
            <w:pPr>
              <w:spacing w:after="0"/>
              <w:rPr>
                <w:sz w:val="15"/>
                <w:szCs w:val="15"/>
                <w:color w:val="auto"/>
              </w:rPr>
            </w:pP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gridSpan w:val="3"/>
          </w:tcPr>
          <w:p>
            <w:pPr>
              <w:spacing w:after="0"/>
              <w:rPr>
                <w:sz w:val="17"/>
                <w:szCs w:val="17"/>
                <w:color w:val="auto"/>
              </w:rPr>
            </w:pPr>
          </w:p>
        </w:tc>
        <w:tc>
          <w:tcPr>
            <w:tcW w:w="7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gridSpan w:val="3"/>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tcBorders>
              <w:right w:val="single" w:sz="8" w:color="CCEEFF"/>
            </w:tcBorders>
            <w:shd w:val="clear" w:color="auto" w:fill="CCEEFF"/>
          </w:tcPr>
          <w:p>
            <w:pPr>
              <w:spacing w:after="0"/>
              <w:rPr>
                <w:sz w:val="17"/>
                <w:szCs w:val="17"/>
                <w:color w:val="auto"/>
              </w:rPr>
            </w:pPr>
          </w:p>
        </w:tc>
        <w:tc>
          <w:tcPr>
            <w:tcW w:w="66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360"/>
          </w:cols>
          <w:pgMar w:left="1320" w:top="297" w:right="12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360"/>
          </w:cols>
          <w:pgMar w:left="1320" w:top="297" w:right="121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right"/>
        <w:ind w:right="312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9"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i w:val="1"/>
          <w:iCs w:val="1"/>
          <w:color w:val="auto"/>
        </w:rPr>
        <w:t>(In thousands, except for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2, 2023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3, 2023</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292,824</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355,090</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120,247</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66,966</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287,270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284,418</w:t>
            </w:r>
          </w:p>
        </w:tc>
      </w:tr>
      <w:tr>
        <w:trPr>
          <w:trHeight w:val="229"/>
        </w:trPr>
        <w:tc>
          <w:tcPr>
            <w:tcW w:w="6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1,124,925</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815,468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744,540</w:t>
            </w: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w:t>
            </w:r>
          </w:p>
        </w:tc>
      </w:tr>
      <w:tr>
        <w:trPr>
          <w:trHeight w:val="23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1,966,805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1,954,525</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82,590</w:t>
            </w:r>
          </w:p>
        </w:tc>
      </w:tr>
      <w:tr>
        <w:trPr>
          <w:trHeight w:val="22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37,130</w:t>
            </w:r>
          </w:p>
        </w:tc>
      </w:tr>
      <w:tr>
        <w:trPr>
          <w:trHeight w:val="230"/>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182,731</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3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158,483</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344,942</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 see Note 10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 authorized 120,000 shares, issued 70,261 shares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convertible common stock - authorized and issued 4,800 shares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1,571,112</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in treasury at cost – 26,078 shares at December 2, 2023 and 26,077</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at June 3, 2023</w:t>
            </w:r>
          </w:p>
        </w:tc>
        <w:tc>
          <w:tcPr>
            <w:tcW w:w="3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(30,008)</w:t>
            </w:r>
          </w:p>
        </w:tc>
      </w:tr>
      <w:tr>
        <w:trPr>
          <w:trHeight w:val="203"/>
        </w:trPr>
        <w:tc>
          <w:tcPr>
            <w:tcW w:w="6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1,626,408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1,611,081</w:t>
            </w:r>
          </w:p>
        </w:tc>
      </w:tr>
      <w:tr>
        <w:trPr>
          <w:trHeight w:val="230"/>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1,609,583</w:t>
            </w: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1,966,805</w:t>
            </w:r>
          </w:p>
        </w:tc>
        <w:tc>
          <w:tcPr>
            <w:tcW w:w="80" w:type="dxa"/>
            <w:vAlign w:val="bottom"/>
          </w:tcPr>
          <w:p>
            <w:pPr>
              <w:spacing w:after="0"/>
              <w:rPr>
                <w:sz w:val="20"/>
                <w:szCs w:val="20"/>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1,954,525</w:t>
            </w:r>
          </w:p>
        </w:tc>
      </w:tr>
      <w:tr>
        <w:trPr>
          <w:trHeight w:val="20"/>
        </w:trPr>
        <w:tc>
          <w:tcPr>
            <w:tcW w:w="6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40"/>
          </w:cols>
          <w:pgMar w:left="1320" w:top="311"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0000FF"/>
                <w:w w:val="97"/>
              </w:rPr>
              <w:t>Index</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3080" w:type="dxa"/>
            <w:vAlign w:val="bottom"/>
          </w:tcPr>
          <w:p>
            <w:pPr>
              <w:spacing w:after="0"/>
              <w:rPr>
                <w:sz w:val="24"/>
                <w:szCs w:val="24"/>
                <w:color w:val="auto"/>
              </w:rPr>
            </w:pPr>
          </w:p>
        </w:tc>
        <w:tc>
          <w:tcPr>
            <w:tcW w:w="31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20" w:type="dxa"/>
            <w:vAlign w:val="bottom"/>
            <w:gridSpan w:val="11"/>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160" w:type="dxa"/>
            <w:vAlign w:val="bottom"/>
            <w:gridSpan w:val="8"/>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Twenty-six Weeks Ended</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November 26, 2022</w:t>
            </w:r>
          </w:p>
        </w:tc>
        <w:tc>
          <w:tcPr>
            <w:tcW w:w="4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November 26, 2022</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523,234</w:t>
            </w:r>
          </w:p>
        </w:tc>
        <w:tc>
          <w:tcPr>
            <w:tcW w:w="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801,700</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982,578</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1,460,044</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432,104</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483,851</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846,015</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924,705</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317,849</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535,339</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111,559</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259,868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423,718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Royalty income</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9"/>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Equity income (loss) of unconsolidated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entities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262,268</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427,748</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198,294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16,989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323,428</w:t>
            </w:r>
          </w:p>
        </w:tc>
        <w:tc>
          <w:tcPr>
            <w:tcW w:w="0" w:type="dxa"/>
            <w:vAlign w:val="bottom"/>
          </w:tcPr>
          <w:p>
            <w:pPr>
              <w:spacing w:after="0"/>
              <w:rPr>
                <w:sz w:val="1"/>
                <w:szCs w:val="1"/>
                <w:color w:val="auto"/>
              </w:rPr>
            </w:pPr>
          </w:p>
        </w:tc>
      </w:tr>
      <w:tr>
        <w:trPr>
          <w:trHeight w:val="23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63"/>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Cal-Maine Foods,</w:t>
            </w: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17,009</w:t>
            </w:r>
          </w:p>
        </w:tc>
        <w:tc>
          <w:tcPr>
            <w:tcW w:w="8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198,587</w:t>
            </w:r>
          </w:p>
        </w:tc>
        <w:tc>
          <w:tcPr>
            <w:tcW w:w="380" w:type="dxa"/>
            <w:vAlign w:val="bottom"/>
            <w:gridSpan w:val="2"/>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17,935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323,874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48,624</w:t>
            </w:r>
          </w:p>
        </w:tc>
        <w:tc>
          <w:tcPr>
            <w:tcW w:w="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40"/>
          </w:cols>
          <w:pgMar w:left="1320" w:top="297"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Index</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87"/>
        </w:trPr>
        <w:tc>
          <w:tcPr>
            <w:tcW w:w="6280" w:type="dxa"/>
            <w:vAlign w:val="bottom"/>
            <w:gridSpan w:val="7"/>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8"/>
        </w:trPr>
        <w:tc>
          <w:tcPr>
            <w:tcW w:w="7760" w:type="dxa"/>
            <w:vAlign w:val="bottom"/>
            <w:gridSpan w:val="10"/>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73"/>
        </w:trPr>
        <w:tc>
          <w:tcPr>
            <w:tcW w:w="3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63"/>
        </w:trPr>
        <w:tc>
          <w:tcPr>
            <w:tcW w:w="33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6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November 26, 2022</w:t>
            </w:r>
          </w:p>
        </w:tc>
        <w:tc>
          <w:tcPr>
            <w:tcW w:w="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November 26, 2022</w:t>
            </w:r>
          </w:p>
        </w:tc>
      </w:tr>
      <w:tr>
        <w:trPr>
          <w:trHeight w:val="20"/>
        </w:trPr>
        <w:tc>
          <w:tcPr>
            <w:tcW w:w="3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6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198,294</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323,428</w:t>
            </w:r>
          </w:p>
        </w:tc>
      </w:tr>
      <w:tr>
        <w:trPr>
          <w:trHeight w:val="185"/>
        </w:trPr>
        <w:tc>
          <w:tcPr>
            <w:tcW w:w="33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holding gain (loss) on available-</w:t>
            </w: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for-sale securities, net of reclassification</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895</w:t>
            </w:r>
          </w:p>
        </w:tc>
        <w:tc>
          <w:tcPr>
            <w:tcW w:w="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1,681</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(1,971)</w:t>
            </w:r>
          </w:p>
        </w:tc>
      </w:tr>
      <w:tr>
        <w:trPr>
          <w:trHeight w:val="23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0"/>
        </w:trPr>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items of other comprehensive income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197,557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321,937</w:t>
            </w:r>
          </w:p>
        </w:tc>
      </w:tr>
      <w:tr>
        <w:trPr>
          <w:trHeight w:val="24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the</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03"/>
        </w:trPr>
        <w:tc>
          <w:tcPr>
            <w:tcW w:w="33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(431)</w:t>
            </w: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(946)</w:t>
            </w: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(446)</w:t>
            </w:r>
          </w:p>
        </w:tc>
      </w:tr>
      <w:tr>
        <w:trPr>
          <w:trHeight w:val="24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Cal-</w:t>
            </w: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Maine Foods,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197,850</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322,383</w:t>
            </w:r>
          </w:p>
        </w:tc>
      </w:tr>
      <w:tr>
        <w:trPr>
          <w:trHeight w:val="20"/>
        </w:trPr>
        <w:tc>
          <w:tcPr>
            <w:tcW w:w="3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40"/>
          </w:cols>
          <w:pgMar w:left="1320" w:top="297" w:right="1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0000FF"/>
                <w:w w:val="97"/>
              </w:rPr>
              <w:t>Index</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7"/>
        </w:trPr>
        <w:tc>
          <w:tcPr>
            <w:tcW w:w="6600" w:type="dxa"/>
            <w:vAlign w:val="bottom"/>
            <w:gridSpan w:val="4"/>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600" w:type="dxa"/>
            <w:vAlign w:val="bottom"/>
            <w:gridSpan w:val="4"/>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10"/>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December 2, 2023</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November 26, 2022</w:t>
            </w:r>
          </w:p>
        </w:tc>
        <w:tc>
          <w:tcPr>
            <w:tcW w:w="20" w:type="dxa"/>
            <w:vAlign w:val="bottom"/>
          </w:tcPr>
          <w:p>
            <w:pPr>
              <w:spacing w:after="0"/>
              <w:rPr>
                <w:sz w:val="18"/>
                <w:szCs w:val="18"/>
                <w:color w:val="auto"/>
              </w:rPr>
            </w:pPr>
          </w:p>
        </w:tc>
      </w:tr>
      <w:tr>
        <w:trPr>
          <w:trHeight w:val="223"/>
        </w:trPr>
        <w:tc>
          <w:tcPr>
            <w:tcW w:w="5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323,428</w:t>
            </w: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20" w:type="dxa"/>
            <w:vAlign w:val="bottom"/>
          </w:tcPr>
          <w:p>
            <w:pPr>
              <w:spacing w:after="0"/>
              <w:rPr>
                <w:sz w:val="19"/>
                <w:szCs w:val="19"/>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0" w:type="dxa"/>
            <w:vAlign w:val="bottom"/>
          </w:tcPr>
          <w:p>
            <w:pPr>
              <w:spacing w:after="0"/>
              <w:rPr>
                <w:sz w:val="19"/>
                <w:szCs w:val="19"/>
                <w:color w:val="auto"/>
              </w:rPr>
            </w:pP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344,787</w:t>
            </w:r>
          </w:p>
        </w:tc>
        <w:tc>
          <w:tcPr>
            <w:tcW w:w="20" w:type="dxa"/>
            <w:vAlign w:val="bottom"/>
          </w:tcPr>
          <w:p>
            <w:pPr>
              <w:spacing w:after="0"/>
              <w:rPr>
                <w:sz w:val="19"/>
                <w:szCs w:val="19"/>
                <w:color w:val="auto"/>
              </w:rPr>
            </w:pPr>
          </w:p>
        </w:tc>
      </w:tr>
      <w:tr>
        <w:trPr>
          <w:trHeight w:val="229"/>
        </w:trPr>
        <w:tc>
          <w:tcPr>
            <w:tcW w:w="4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(152,365)</w:t>
            </w: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65,279</w:t>
            </w:r>
          </w:p>
        </w:tc>
        <w:tc>
          <w:tcPr>
            <w:tcW w:w="20" w:type="dxa"/>
            <w:vAlign w:val="bottom"/>
          </w:tcPr>
          <w:p>
            <w:pPr>
              <w:spacing w:after="0"/>
              <w:rPr>
                <w:sz w:val="19"/>
                <w:szCs w:val="19"/>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 of business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(59,709)</w:t>
            </w:r>
          </w:p>
        </w:tc>
        <w:tc>
          <w:tcPr>
            <w:tcW w:w="20" w:type="dxa"/>
            <w:vAlign w:val="bottom"/>
          </w:tcPr>
          <w:p>
            <w:pPr>
              <w:spacing w:after="0"/>
              <w:rPr>
                <w:sz w:val="19"/>
                <w:szCs w:val="19"/>
                <w:color w:val="auto"/>
              </w:rPr>
            </w:pPr>
          </w:p>
        </w:tc>
      </w:tr>
      <w:tr>
        <w:trPr>
          <w:trHeight w:val="236"/>
        </w:trPr>
        <w:tc>
          <w:tcPr>
            <w:tcW w:w="5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r>
      <w:tr>
        <w:trPr>
          <w:trHeight w:val="203"/>
        </w:trPr>
        <w:tc>
          <w:tcPr>
            <w:tcW w:w="58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32,802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(146,703)</w:t>
            </w:r>
          </w:p>
        </w:tc>
        <w:tc>
          <w:tcPr>
            <w:tcW w:w="20" w:type="dxa"/>
            <w:vAlign w:val="bottom"/>
          </w:tcPr>
          <w:p>
            <w:pPr>
              <w:spacing w:after="0"/>
              <w:rPr>
                <w:sz w:val="17"/>
                <w:szCs w:val="17"/>
                <w:color w:val="auto"/>
              </w:rPr>
            </w:pPr>
          </w:p>
        </w:tc>
      </w:tr>
      <w:tr>
        <w:trPr>
          <w:trHeight w:val="229"/>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(78,394)</w:t>
            </w: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r>
      <w:tr>
        <w:trPr>
          <w:trHeight w:val="230"/>
        </w:trPr>
        <w:tc>
          <w:tcPr>
            <w:tcW w:w="5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3"/>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(78,533)</w:t>
            </w:r>
          </w:p>
        </w:tc>
        <w:tc>
          <w:tcPr>
            <w:tcW w:w="20" w:type="dxa"/>
            <w:vAlign w:val="bottom"/>
          </w:tcPr>
          <w:p>
            <w:pPr>
              <w:spacing w:after="0"/>
              <w:rPr>
                <w:sz w:val="19"/>
                <w:szCs w:val="19"/>
                <w:color w:val="auto"/>
              </w:rPr>
            </w:pPr>
          </w:p>
        </w:tc>
      </w:tr>
      <w:tr>
        <w:trPr>
          <w:trHeight w:val="210"/>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119,551</w:t>
            </w:r>
          </w:p>
        </w:tc>
        <w:tc>
          <w:tcPr>
            <w:tcW w:w="20" w:type="dxa"/>
            <w:vAlign w:val="bottom"/>
          </w:tcPr>
          <w:p>
            <w:pPr>
              <w:spacing w:after="0"/>
              <w:rPr>
                <w:sz w:val="19"/>
                <w:szCs w:val="19"/>
                <w:color w:val="auto"/>
              </w:rPr>
            </w:pPr>
          </w:p>
        </w:tc>
      </w:tr>
      <w:tr>
        <w:trPr>
          <w:trHeight w:val="230"/>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w:t>
            </w:r>
          </w:p>
        </w:tc>
        <w:tc>
          <w:tcPr>
            <w:tcW w:w="20" w:type="dxa"/>
            <w:vAlign w:val="bottom"/>
          </w:tcPr>
          <w:p>
            <w:pPr>
              <w:spacing w:after="0"/>
              <w:rPr>
                <w:sz w:val="19"/>
                <w:szCs w:val="19"/>
                <w:color w:val="auto"/>
              </w:rPr>
            </w:pP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361,783</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178,635</w:t>
            </w:r>
          </w:p>
        </w:tc>
        <w:tc>
          <w:tcPr>
            <w:tcW w:w="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June 3, 2023 (the “2023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periods and year-to-date periods ended on December 2, 2023 and November 26, 2022 included 13 weeks and 26 weeks,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The Company has determined that its debt securities are available-for-sale investments. We classify these securities as current because the amounts invested are available for current operations. Available -for-sale securities are carried at fair value, based on quoted market prices as of the balance sheet date, with unrealized gains and losses recorded in other comprehensive income. The amortized cost of debt securities is adjusted for amortization of premiums and accretion of discounts to maturity and is recorded in interest income. The Company regularly evaluates changes to the rating of its debt securities by credit agencies and economic conditions to assess and record any expected credit losses through allowance for credit losses, limited to the amount that fair value was less than the amortized cost basis.</w:t>
      </w:r>
    </w:p>
    <w:p>
      <w:pPr>
        <w:spacing w:after="0" w:line="1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Investments in mutual funds are recorded at fair value and are classified as “Other long-term assets” in the Company’s Condensed Consolidated Balance Sheets. Unrealized gains and losses for equity securities are recorded in other income (expenses) as Other, net in the Company’s Condensed Consolidated Statements of Income.</w:t>
      </w:r>
    </w:p>
    <w:p>
      <w:pPr>
        <w:spacing w:after="0" w:line="16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cost basis for realized gains and losses on available-for-sale securities is determined by the specific identification method. Gains and losses are recognized in other income (expenses) as Other, net in the Company’s Condensed Consolidated Statements of Income. Interest and dividends on securities classified as available-for-sale are recorded in interest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receivables are stated at their carrying values, which include a reserve for credit losses. As of December 2, 2023 and June 3, 2023, reserves for credit losses were $ 536 thousand and $579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1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Goodwill is evaluated for impairment annually by first performing a qualitative assessment to determine whether a quantitative goodwill</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300"/>
          </w:cols>
          <w:pgMar w:left="1320" w:top="311" w:right="127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test is necessary. After assessing the totality of events or circumstances, if we determine it is more likely than not that the fair value of a reporting unit is less than its carrying amount, then we perform additional quantitative tests to determine the magnitude of any impairment.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Intangible assets are initially recorded at fair value in business acquisitions, which include franchise rights, customer relationships, non-compete agreements, trademark and right of use intangibles. They are amortized over their estimated useful lives of 5 to 15 years. The gross cost and accumulated amortization of intangible assets are removed when the recorded amounts are fully amortized and the asset is no longer in use or the contract has expired. When certain events or changes in operating conditions occur, asset lives may be adjusted and an impairment assessment may be performed on the recoverability of the carrying amounts.</w:t>
      </w:r>
    </w:p>
    <w:p>
      <w:pPr>
        <w:spacing w:after="0" w:line="20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Indefinite life assets are recorded at fair value in business acquisitions and represents water rights. They are not amortized, but are reviewed for impairment at least annually or more frequently if impairment indicators arise.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2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 to shareholders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 The dividend policy is subject to periodic review by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We determine the fair values of identifiable assets and liabilities internally, which requires estimates and the use of various valuation techniques. When a market value is not readily available, our internal valuation methodology considers the remaining estimated life of the assets acquired and what management believes is the market value for those assets.</w:t>
      </w:r>
    </w:p>
    <w:p>
      <w:pPr>
        <w:spacing w:after="0" w:line="17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typically use the income method approach for intangible assets acquired in a business combination. Significant estimates in valuing certain intangible assets include, but are not limited to, the amount and timing of future cash flows, growth rates, discount rates and useful lives. The excess of the purchase price over fair values of identifiable assets and liabilities is recorded as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that may result in a loss to the Company but which will only be resolved when one or more future events occur or fail to occur.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1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material loss has been incurred and the amount of the liability can be estimated, the estimated liability would be accrued in the Company’s financial statements. If the assessment indicates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the costs of litigation as they are incurred.</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260"/>
          </w:cols>
          <w:pgMar w:left="1320" w:top="311" w:right="131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4"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No new accounting pronouncement issued or effective during the fiscal year had or is expected to have a material impact on our Consolidated Financial Statements.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29"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Effective September 30, 2023, the Company acquired the assets of Fassio Egg Farms, Inc. (“Fassio”), related to its commercial shell egg production and processing business. Fassio owns and operates commercial shell egg production and processing facilities with a capacity at the time of acquisition of approximately 1.2 million laying hens, primarily cage-free, a feed mill, pullets, a fertilizer production and composting operation and land located in Erda, Utah, outside Salt Lake City. The Company accounted for the acquisition as a business combination.</w:t>
      </w:r>
    </w:p>
    <w:p>
      <w:pPr>
        <w:spacing w:after="0" w:line="174" w:lineRule="exact"/>
        <w:rPr>
          <w:sz w:val="20"/>
          <w:szCs w:val="20"/>
          <w:color w:val="auto"/>
        </w:rPr>
      </w:pPr>
    </w:p>
    <w:p>
      <w:pPr>
        <w:jc w:val="both"/>
        <w:ind w:left="40" w:right="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consideration paid for Fassio and the amounts of the assets acquired and liabilities assumed recognized at the acquisition date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consideration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20" w:type="dxa"/>
            <w:vAlign w:val="bottom"/>
          </w:tcPr>
          <w:p>
            <w:pPr>
              <w:spacing w:after="0"/>
              <w:rPr>
                <w:sz w:val="19"/>
                <w:szCs w:val="19"/>
                <w:color w:val="auto"/>
              </w:rPr>
            </w:pPr>
          </w:p>
        </w:tc>
      </w:tr>
      <w:tr>
        <w:trPr>
          <w:trHeight w:val="229"/>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r>
      <w:tr>
        <w:trPr>
          <w:trHeight w:val="22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54,746</w:t>
            </w:r>
          </w:p>
        </w:tc>
        <w:tc>
          <w:tcPr>
            <w:tcW w:w="20" w:type="dxa"/>
            <w:vAlign w:val="bottom"/>
          </w:tcPr>
          <w:p>
            <w:pPr>
              <w:spacing w:after="0"/>
              <w:rPr>
                <w:sz w:val="19"/>
                <w:szCs w:val="19"/>
                <w:color w:val="auto"/>
              </w:rPr>
            </w:pPr>
          </w:p>
        </w:tc>
      </w:tr>
      <w:tr>
        <w:trPr>
          <w:trHeight w:val="229"/>
        </w:trPr>
        <w:tc>
          <w:tcPr>
            <w:tcW w:w="7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0" w:type="dxa"/>
            <w:vAlign w:val="bottom"/>
          </w:tcPr>
          <w:p>
            <w:pPr>
              <w:spacing w:after="0"/>
              <w:rPr>
                <w:sz w:val="19"/>
                <w:szCs w:val="19"/>
                <w:color w:val="auto"/>
              </w:rPr>
            </w:pPr>
          </w:p>
        </w:tc>
      </w:t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w:t>
            </w:r>
          </w:p>
        </w:tc>
        <w:tc>
          <w:tcPr>
            <w:tcW w:w="20" w:type="dxa"/>
            <w:vAlign w:val="bottom"/>
          </w:tcPr>
          <w:p>
            <w:pPr>
              <w:spacing w:after="0"/>
              <w:rPr>
                <w:sz w:val="19"/>
                <w:szCs w:val="19"/>
                <w:color w:val="auto"/>
              </w:rPr>
            </w:pPr>
          </w:p>
        </w:tc>
      </w:tr>
      <w:tr>
        <w:trPr>
          <w:trHeight w:val="229"/>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19"/>
                <w:szCs w:val="19"/>
                <w:color w:val="auto"/>
              </w:rPr>
            </w:pPr>
          </w:p>
        </w:tc>
      </w:t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r>
      <w:tr>
        <w:trPr>
          <w:trHeight w:val="229"/>
        </w:trPr>
        <w:tc>
          <w:tcPr>
            <w:tcW w:w="7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tcPr>
          <w:p>
            <w:pPr>
              <w:spacing w:after="0"/>
              <w:rPr>
                <w:sz w:val="19"/>
                <w:szCs w:val="19"/>
                <w:color w:val="auto"/>
              </w:rPr>
            </w:pPr>
          </w:p>
        </w:tc>
      </w:tr>
      <w:tr>
        <w:trPr>
          <w:trHeight w:val="21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52,976</w:t>
            </w:r>
          </w:p>
        </w:tc>
        <w:tc>
          <w:tcPr>
            <w:tcW w:w="20" w:type="dxa"/>
            <w:vAlign w:val="bottom"/>
          </w:tcPr>
          <w:p>
            <w:pPr>
              <w:spacing w:after="0"/>
              <w:rPr>
                <w:sz w:val="18"/>
                <w:szCs w:val="18"/>
                <w:color w:val="auto"/>
              </w:rPr>
            </w:pPr>
          </w:p>
        </w:tc>
      </w:tr>
      <w:tr>
        <w:trPr>
          <w:trHeight w:val="230"/>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Borders>
              <w:bottom w:val="single" w:sz="8" w:color="auto"/>
            </w:tcBorders>
          </w:tcPr>
          <w:p>
            <w:pPr>
              <w:spacing w:after="0"/>
              <w:rPr>
                <w:sz w:val="19"/>
                <w:szCs w:val="19"/>
                <w:color w:val="auto"/>
              </w:rPr>
            </w:pPr>
          </w:p>
        </w:tc>
      </w:tr>
      <w:tr>
        <w:trPr>
          <w:trHeight w:val="223"/>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79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54,746</w:t>
            </w:r>
          </w:p>
        </w:tc>
        <w:tc>
          <w:tcPr>
            <w:tcW w:w="20" w:type="dxa"/>
            <w:vAlign w:val="bottom"/>
          </w:tcPr>
          <w:p>
            <w:pPr>
              <w:spacing w:after="0"/>
              <w:rPr>
                <w:sz w:val="21"/>
                <w:szCs w:val="2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8"/>
          <w:szCs w:val="18"/>
          <w:color w:val="auto"/>
        </w:rPr>
        <w:t>Inventory consisted primarily of flock, feed ingredients, packaging, and egg inventory. Flock inventory was valued at carrying value as management believes that its carrying value best approximates its fair value. Feed ingredients, packaging and egg inventory were all valued based on market prices as of September 30, 2023.</w:t>
      </w:r>
    </w:p>
    <w:p>
      <w:pPr>
        <w:spacing w:after="0" w:line="165"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Property, plant and equipment were valued utilizing the cost approach which is based on replacement or reproduction costs of the assets and subtracting any depreciation resulting from physical deterioration and/or functional or economic obsolescence.</w:t>
      </w:r>
    </w:p>
    <w:p>
      <w:pPr>
        <w:spacing w:after="0" w:line="150" w:lineRule="exact"/>
        <w:rPr>
          <w:sz w:val="20"/>
          <w:szCs w:val="20"/>
          <w:color w:val="auto"/>
        </w:rPr>
      </w:pPr>
    </w:p>
    <w:p>
      <w:pPr>
        <w:ind w:left="40" w:right="100"/>
        <w:spacing w:after="0" w:line="281" w:lineRule="auto"/>
        <w:rPr>
          <w:sz w:val="20"/>
          <w:szCs w:val="20"/>
          <w:color w:val="auto"/>
        </w:rPr>
      </w:pPr>
      <w:r>
        <w:rPr>
          <w:rFonts w:ascii="Times New Roman" w:cs="Times New Roman" w:eastAsia="Times New Roman" w:hAnsi="Times New Roman"/>
          <w:sz w:val="18"/>
          <w:szCs w:val="18"/>
          <w:color w:val="auto"/>
        </w:rPr>
        <w:t>Intangible assets consisted primarily of water rights within the property acquired. Water rights were valued using the sales comparison approach.</w:t>
      </w:r>
    </w:p>
    <w:p>
      <w:pPr>
        <w:spacing w:after="0" w:line="163"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18"/>
          <w:szCs w:val="18"/>
          <w:color w:val="auto"/>
        </w:rPr>
        <w:t>Contingent consideration liability was recorded and represents potential future cash payment to the sellers contingent on the acquired business meeting certain return on profitability milestones over a three-year period, commencing on the date of the acquisition. The fair value of the contingent consideration is estimated using a discounted cash flow model. Key assumptions and unobservable inputs that require significant judgement used in the estimate include weighted average cost of capital, egg prices, projected revenue and expenses over which the contingent considered is measured, and the probability assessments with respect to the likelihood of achieving the forecasted projections. A range of potential outcomes cannot be reasonably estimated due to market volatility of egg prices.</w:t>
      </w:r>
    </w:p>
    <w:p>
      <w:pPr>
        <w:spacing w:after="0" w:line="174" w:lineRule="exact"/>
        <w:rPr>
          <w:sz w:val="20"/>
          <w:szCs w:val="20"/>
          <w:color w:val="auto"/>
        </w:rPr>
      </w:pPr>
    </w:p>
    <w:p>
      <w:pPr>
        <w:jc w:val="both"/>
        <w:ind w:left="40" w:right="2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of the acquired business over the acquisition date fair value of the net assets acquired. Goodwill recorded in connection with the Fassio acquisition is primarily attributable to improved efficiencies from integrating the assets of Fassio with the operations of the Company. The Company recognized goodwill of $1.8 million as a result of the acquisition.</w:t>
      </w:r>
    </w:p>
    <w:p>
      <w:pPr>
        <w:sectPr>
          <w:pgSz w:w="11900" w:h="16838" w:orient="portrait"/>
          <w:cols w:equalWidth="0" w:num="1">
            <w:col w:w="9300"/>
          </w:cols>
          <w:pgMar w:left="128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00"/>
          </w:cols>
          <w:pgMar w:left="1280" w:top="311" w:right="131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represents the Company’s investment securities as of December 2, 2023 and June 3, 2023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17"/>
                <w:szCs w:val="17"/>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2, 2023</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88,354</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206,045</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6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Borders>
              <w:top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Borders>
              <w:top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24"/>
                <w:szCs w:val="24"/>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3, 2023</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6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20" w:type="dxa"/>
            <w:vAlign w:val="bottom"/>
            <w:tcBorders>
              <w:bottom w:val="single" w:sz="8" w:color="auto"/>
            </w:tcBorders>
          </w:tcPr>
          <w:p>
            <w:pPr>
              <w:spacing w:after="0"/>
              <w:rPr>
                <w:sz w:val="19"/>
                <w:szCs w:val="19"/>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357,479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355,090</w:t>
            </w:r>
          </w:p>
        </w:tc>
        <w:tc>
          <w:tcPr>
            <w:tcW w:w="20" w:type="dxa"/>
            <w:vAlign w:val="bottom"/>
            <w:tcBorders>
              <w:bottom w:val="single" w:sz="8" w:color="auto"/>
            </w:tcBorders>
          </w:tcPr>
          <w:p>
            <w:pPr>
              <w:spacing w:after="0"/>
              <w:rPr>
                <w:sz w:val="24"/>
                <w:szCs w:val="24"/>
                <w:color w:val="auto"/>
              </w:rPr>
            </w:pPr>
          </w:p>
        </w:tc>
      </w:tr>
      <w:tr>
        <w:trPr>
          <w:trHeight w:val="183"/>
        </w:trPr>
        <w:tc>
          <w:tcPr>
            <w:tcW w:w="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227"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available-for-sale were $ 196.1 million and $ 65.3 million during the twenty-six weeks ended December 2, 2023 and November 26, 2022, respectively. Gross realized gains for the twenty-six weeks ended December 2, 2023 and November 26, 2022 were $7 thousand and $2 thousand, respectively. Gross realized losses for the twenty-six weeks ended December 2, 2023 and November 26, 2022 were $8 thousand and $63 thousand, respectively. There were no allowances for credit losses at December 2, 2023 and June 3, 2023.</w:t>
      </w:r>
    </w:p>
    <w:p>
      <w:pPr>
        <w:spacing w:after="0" w:line="187"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investments at December 2, 2023 are as follows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23"/>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145,788</w:t>
            </w:r>
          </w:p>
        </w:tc>
      </w:tr>
      <w:tr>
        <w:trPr>
          <w:trHeight w:val="230"/>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60,257</w:t>
            </w:r>
          </w:p>
        </w:tc>
      </w:tr>
      <w:tr>
        <w:trPr>
          <w:trHeight w:val="236"/>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206,045</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227"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8"/>
          <w:szCs w:val="18"/>
          <w:color w:val="auto"/>
        </w:rPr>
        <w:t>There were no sales of noncurrent investment securities during the twenty-six weeks ended December 2, 2023 and November 26, 2022.</w:t>
      </w:r>
    </w:p>
    <w:p>
      <w:pPr>
        <w:sectPr>
          <w:pgSz w:w="11900" w:h="16838" w:orient="portrait"/>
          <w:cols w:equalWidth="0" w:num="1">
            <w:col w:w="9280"/>
          </w:cols>
          <w:pgMar w:left="128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80"/>
          </w:cols>
          <w:pgMar w:left="1280" w:top="311" w:right="1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89" w:lineRule="exact"/>
        <w:rPr>
          <w:sz w:val="20"/>
          <w:szCs w:val="20"/>
          <w:color w:val="auto"/>
        </w:rPr>
      </w:pPr>
    </w:p>
    <w:p>
      <w:pPr>
        <w:ind w:left="1020" w:hanging="32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right="40" w:hanging="325"/>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spacing w:after="0" w:line="1"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660" w:hanging="317"/>
        <w:spacing w:after="0" w:line="237" w:lineRule="auto"/>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6"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64" w:lineRule="exact"/>
        <w:rPr>
          <w:rFonts w:ascii="Times New Roman" w:cs="Times New Roman" w:eastAsia="Times New Roman" w:hAnsi="Times New Roman"/>
          <w:sz w:val="18"/>
          <w:szCs w:val="18"/>
          <w:color w:val="auto"/>
        </w:rPr>
      </w:pPr>
    </w:p>
    <w:p>
      <w:pPr>
        <w:ind w:left="1020" w:right="80" w:hanging="325"/>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left="40" w:right="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accounts receivable, and accounts payable: </w:t>
      </w:r>
      <w:r>
        <w:rPr>
          <w:rFonts w:ascii="Times New Roman" w:cs="Times New Roman" w:eastAsia="Times New Roman" w:hAnsi="Times New Roman"/>
          <w:sz w:val="18"/>
          <w:szCs w:val="18"/>
          <w:color w:val="auto"/>
        </w:rPr>
        <w:t>The carrying amount approximates fair value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maturity of these instruments.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27" w:lineRule="exact"/>
        <w:rPr>
          <w:sz w:val="20"/>
          <w:szCs w:val="20"/>
          <w:color w:val="auto"/>
        </w:rPr>
      </w:pPr>
    </w:p>
    <w:p>
      <w:pPr>
        <w:ind w:left="40" w:right="60"/>
        <w:spacing w:after="0" w:line="281"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financial assets and liabilities measured at fair value on a recurring basis as of December 2, 2023 and June 3,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 2023</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21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20" w:type="dxa"/>
            <w:vAlign w:val="bottom"/>
          </w:tcPr>
          <w:p>
            <w:pPr>
              <w:spacing w:after="0"/>
              <w:rPr>
                <w:sz w:val="19"/>
                <w:szCs w:val="19"/>
                <w:color w:val="auto"/>
              </w:rPr>
            </w:pPr>
          </w:p>
        </w:tc>
      </w:tr>
      <w:tr>
        <w:trPr>
          <w:trHeight w:val="210"/>
        </w:trPr>
        <w:tc>
          <w:tcPr>
            <w:tcW w:w="3460" w:type="dxa"/>
            <w:vAlign w:val="bottom"/>
            <w:tcBorders>
              <w:top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tcBorders>
              <w:top w:val="single" w:sz="8" w:color="auto"/>
            </w:tcBorders>
            <w:shd w:val="clear" w:color="auto" w:fill="CCEEFF"/>
          </w:tcPr>
          <w:p>
            <w:pPr>
              <w:spacing w:after="0"/>
              <w:rPr>
                <w:sz w:val="18"/>
                <w:szCs w:val="18"/>
                <w:color w:val="auto"/>
              </w:rPr>
            </w:pPr>
          </w:p>
        </w:tc>
        <w:tc>
          <w:tcPr>
            <w:tcW w:w="113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 w:type="dxa"/>
            <w:vAlign w:val="bottom"/>
            <w:tcBorders>
              <w:top w:val="single" w:sz="8" w:color="auto"/>
            </w:tcBorders>
            <w:shd w:val="clear" w:color="auto" w:fill="CCEEFF"/>
          </w:tcPr>
          <w:p>
            <w:pPr>
              <w:spacing w:after="0"/>
              <w:rPr>
                <w:sz w:val="18"/>
                <w:szCs w:val="18"/>
                <w:color w:val="auto"/>
              </w:rPr>
            </w:pPr>
          </w:p>
        </w:tc>
        <w:tc>
          <w:tcPr>
            <w:tcW w:w="115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0"/>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7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31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6,033</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0" w:type="dxa"/>
            <w:vAlign w:val="bottom"/>
          </w:tcPr>
          <w:p>
            <w:pPr>
              <w:spacing w:after="0"/>
              <w:rPr>
                <w:sz w:val="19"/>
                <w:szCs w:val="19"/>
                <w:color w:val="auto"/>
              </w:rPr>
            </w:pPr>
          </w:p>
        </w:tc>
      </w:tr>
      <w:tr>
        <w:trPr>
          <w:trHeight w:val="229"/>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97,667</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19"/>
                <w:szCs w:val="19"/>
                <w:color w:val="auto"/>
              </w:rPr>
            </w:pPr>
          </w:p>
        </w:tc>
      </w:tr>
      <w:tr>
        <w:trPr>
          <w:trHeight w:val="230"/>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88,354</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tcPr>
          <w:p>
            <w:pPr>
              <w:spacing w:after="0"/>
              <w:rPr>
                <w:sz w:val="19"/>
                <w:szCs w:val="19"/>
                <w:color w:val="auto"/>
              </w:rPr>
            </w:pPr>
          </w:p>
        </w:tc>
      </w:tr>
      <w:tr>
        <w:trPr>
          <w:trHeight w:val="229"/>
        </w:trPr>
        <w:tc>
          <w:tcPr>
            <w:tcW w:w="3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30" w:type="dxa"/>
            <w:vAlign w:val="bottom"/>
            <w:tcBorders>
              <w:bottom w:val="single" w:sz="8" w:color="auto"/>
            </w:tcBorders>
          </w:tcPr>
          <w:p>
            <w:pPr>
              <w:ind w:left="650"/>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Borders>
              <w:bottom w:val="single" w:sz="8" w:color="auto"/>
            </w:tcBorders>
          </w:tcPr>
          <w:p>
            <w:pPr>
              <w:spacing w:after="0"/>
              <w:rPr>
                <w:sz w:val="19"/>
                <w:szCs w:val="19"/>
                <w:color w:val="auto"/>
              </w:rPr>
            </w:pP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30" w:type="dxa"/>
            <w:vAlign w:val="bottom"/>
            <w:shd w:val="clear" w:color="auto" w:fill="CCEEFF"/>
          </w:tcPr>
          <w:p>
            <w:pPr>
              <w:ind w:left="650"/>
              <w:spacing w:after="0"/>
              <w:rPr>
                <w:sz w:val="20"/>
                <w:szCs w:val="20"/>
                <w:color w:val="auto"/>
              </w:rPr>
            </w:pPr>
            <w:r>
              <w:rPr>
                <w:rFonts w:ascii="Times New Roman" w:cs="Times New Roman" w:eastAsia="Times New Roman" w:hAnsi="Times New Roman"/>
                <w:sz w:val="18"/>
                <w:szCs w:val="18"/>
                <w:color w:val="auto"/>
              </w:rPr>
              <w:t>2,166</w:t>
            </w:r>
          </w:p>
        </w:tc>
        <w:tc>
          <w:tcPr>
            <w:tcW w:w="160" w:type="dxa"/>
            <w:vAlign w:val="bottom"/>
            <w:gridSpan w:val="3"/>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206,045</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208,211</w:t>
            </w:r>
          </w:p>
        </w:tc>
        <w:tc>
          <w:tcPr>
            <w:tcW w:w="20" w:type="dxa"/>
            <w:vAlign w:val="bottom"/>
          </w:tcPr>
          <w:p>
            <w:pPr>
              <w:spacing w:after="0"/>
              <w:rPr>
                <w:sz w:val="19"/>
                <w:szCs w:val="19"/>
                <w:color w:val="auto"/>
              </w:rPr>
            </w:pPr>
          </w:p>
        </w:tc>
      </w:tr>
      <w:tr>
        <w:trPr>
          <w:trHeight w:val="20"/>
        </w:trPr>
        <w:tc>
          <w:tcPr>
            <w:tcW w:w="3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15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9"/>
                <w:szCs w:val="19"/>
                <w:color w:val="auto"/>
              </w:rPr>
            </w:pPr>
          </w:p>
        </w:tc>
        <w:tc>
          <w:tcPr>
            <w:tcW w:w="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30" w:type="dxa"/>
            <w:vAlign w:val="bottom"/>
            <w:tcBorders>
              <w:bottom w:val="single" w:sz="8" w:color="auto"/>
            </w:tcBorders>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gridSpan w:val="2"/>
          </w:tcPr>
          <w:p>
            <w:pPr>
              <w:spacing w:after="0"/>
              <w:rPr>
                <w:sz w:val="19"/>
                <w:szCs w:val="19"/>
                <w:color w:val="auto"/>
              </w:rPr>
            </w:pPr>
          </w:p>
        </w:tc>
        <w:tc>
          <w:tcPr>
            <w:tcW w:w="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 2023</w:t>
            </w: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30" w:type="dxa"/>
            <w:vAlign w:val="bottom"/>
          </w:tcPr>
          <w:p>
            <w:pPr>
              <w:ind w:left="21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5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20" w:type="dxa"/>
            <w:vAlign w:val="bottom"/>
          </w:tcPr>
          <w:p>
            <w:pPr>
              <w:spacing w:after="0"/>
              <w:rPr>
                <w:sz w:val="24"/>
                <w:szCs w:val="24"/>
                <w:color w:val="auto"/>
              </w:rPr>
            </w:pPr>
          </w:p>
        </w:tc>
      </w:tr>
      <w:tr>
        <w:trPr>
          <w:trHeight w:val="209"/>
        </w:trPr>
        <w:tc>
          <w:tcPr>
            <w:tcW w:w="3460" w:type="dxa"/>
            <w:vAlign w:val="bottom"/>
            <w:tcBorders>
              <w:top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tcBorders>
              <w:top w:val="single" w:sz="8" w:color="auto"/>
            </w:tcBorders>
            <w:shd w:val="clear" w:color="auto" w:fill="CCEEFF"/>
          </w:tcPr>
          <w:p>
            <w:pPr>
              <w:spacing w:after="0"/>
              <w:rPr>
                <w:sz w:val="18"/>
                <w:szCs w:val="18"/>
                <w:color w:val="auto"/>
              </w:rPr>
            </w:pPr>
          </w:p>
        </w:tc>
        <w:tc>
          <w:tcPr>
            <w:tcW w:w="113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 w:type="dxa"/>
            <w:vAlign w:val="bottom"/>
            <w:tcBorders>
              <w:top w:val="single" w:sz="8" w:color="auto"/>
            </w:tcBorders>
            <w:shd w:val="clear" w:color="auto" w:fill="CCEEFF"/>
          </w:tcPr>
          <w:p>
            <w:pPr>
              <w:spacing w:after="0"/>
              <w:rPr>
                <w:sz w:val="18"/>
                <w:szCs w:val="18"/>
                <w:color w:val="auto"/>
              </w:rPr>
            </w:pPr>
          </w:p>
        </w:tc>
        <w:tc>
          <w:tcPr>
            <w:tcW w:w="115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0"/>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7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31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20" w:type="dxa"/>
            <w:vAlign w:val="bottom"/>
          </w:tcPr>
          <w:p>
            <w:pPr>
              <w:spacing w:after="0"/>
              <w:rPr>
                <w:sz w:val="19"/>
                <w:szCs w:val="19"/>
                <w:color w:val="auto"/>
              </w:rPr>
            </w:pPr>
          </w:p>
        </w:tc>
      </w:tr>
      <w:tr>
        <w:trPr>
          <w:trHeight w:val="229"/>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138,577</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9"/>
                <w:szCs w:val="19"/>
                <w:color w:val="auto"/>
              </w:rPr>
            </w:pPr>
          </w:p>
        </w:tc>
      </w:tr>
      <w:tr>
        <w:trPr>
          <w:trHeight w:val="230"/>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100,769</w:t>
            </w:r>
          </w:p>
        </w:tc>
        <w:tc>
          <w:tcPr>
            <w:tcW w:w="20" w:type="dxa"/>
            <w:vAlign w:val="bottom"/>
          </w:tcPr>
          <w:p>
            <w:pPr>
              <w:spacing w:after="0"/>
              <w:rPr>
                <w:sz w:val="19"/>
                <w:szCs w:val="19"/>
                <w:color w:val="auto"/>
              </w:rPr>
            </w:pP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30" w:type="dxa"/>
            <w:vAlign w:val="bottom"/>
            <w:shd w:val="clear" w:color="auto" w:fill="CCEEFF"/>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0" w:type="dxa"/>
            <w:vAlign w:val="bottom"/>
          </w:tcPr>
          <w:p>
            <w:pPr>
              <w:spacing w:after="0"/>
              <w:rPr>
                <w:sz w:val="19"/>
                <w:szCs w:val="19"/>
                <w:color w:val="auto"/>
              </w:rPr>
            </w:pPr>
          </w:p>
        </w:tc>
      </w:tr>
      <w:tr>
        <w:trPr>
          <w:trHeight w:val="230"/>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tcPr>
          <w:p>
            <w:pPr>
              <w:ind w:left="8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20" w:type="dxa"/>
            <w:vAlign w:val="bottom"/>
          </w:tcPr>
          <w:p>
            <w:pPr>
              <w:spacing w:after="0"/>
              <w:rPr>
                <w:sz w:val="19"/>
                <w:szCs w:val="19"/>
                <w:color w:val="auto"/>
              </w:rPr>
            </w:pPr>
          </w:p>
        </w:tc>
      </w:tr>
      <w:tr>
        <w:trPr>
          <w:trHeight w:val="216"/>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spacing w:after="0"/>
              <w:rPr>
                <w:sz w:val="18"/>
                <w:szCs w:val="18"/>
                <w:color w:val="auto"/>
              </w:rPr>
            </w:pPr>
          </w:p>
        </w:tc>
        <w:tc>
          <w:tcPr>
            <w:tcW w:w="1130" w:type="dxa"/>
            <w:vAlign w:val="bottom"/>
            <w:tcBorders>
              <w:bottom w:val="single" w:sz="8" w:color="auto"/>
            </w:tcBorders>
            <w:shd w:val="clear" w:color="auto" w:fill="CCEEFF"/>
          </w:tcPr>
          <w:p>
            <w:pPr>
              <w:ind w:left="650"/>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spacing w:after="0"/>
              <w:rPr>
                <w:sz w:val="18"/>
                <w:szCs w:val="18"/>
                <w:color w:val="auto"/>
              </w:rPr>
            </w:pPr>
          </w:p>
        </w:tc>
        <w:tc>
          <w:tcPr>
            <w:tcW w:w="1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8"/>
                <w:szCs w:val="18"/>
                <w:color w:val="auto"/>
              </w:rPr>
            </w:pPr>
          </w:p>
        </w:tc>
      </w:tr>
      <w:tr>
        <w:trPr>
          <w:trHeight w:val="236"/>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30" w:type="dxa"/>
            <w:vAlign w:val="bottom"/>
          </w:tcPr>
          <w:p>
            <w:pPr>
              <w:ind w:left="650"/>
              <w:spacing w:after="0"/>
              <w:rPr>
                <w:sz w:val="20"/>
                <w:szCs w:val="20"/>
                <w:color w:val="auto"/>
              </w:rPr>
            </w:pPr>
            <w:r>
              <w:rPr>
                <w:rFonts w:ascii="Times New Roman" w:cs="Times New Roman" w:eastAsia="Times New Roman" w:hAnsi="Times New Roman"/>
                <w:sz w:val="18"/>
                <w:szCs w:val="18"/>
                <w:color w:val="auto"/>
              </w:rPr>
              <w:t>2,081</w:t>
            </w:r>
          </w:p>
        </w:tc>
        <w:tc>
          <w:tcPr>
            <w:tcW w:w="31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355,090</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357,171</w:t>
            </w:r>
          </w:p>
        </w:tc>
        <w:tc>
          <w:tcPr>
            <w:tcW w:w="2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40"/>
          </w:cols>
          <w:pgMar w:left="1280" w:top="311" w:right="12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340"/>
          </w:cols>
          <w:pgMar w:left="1280" w:top="311" w:right="127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Contingent consideration classified as Level 3 consists of the potential obligation to pay an earnout to the sellers of Fassio contingent on the acquired business meeting certain return on profitability milestones over a three-year period, commencing on the date of the acquisition. The fair value of the contingent consideration is estimated using a discounted cash flow model. Key assumptions and unobservable inputs that require significant judgement used in the estimate include weighted average cost of capital, egg prices, projected revenue and expenses over which the contingent considered is measured, and the probability assessments with respect to the likelihood of achieving the forecasted projections. See further discussion in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w:t>
      </w:r>
      <w:r>
        <w:rPr>
          <w:rFonts w:ascii="Times New Roman" w:cs="Times New Roman" w:eastAsia="Times New Roman" w:hAnsi="Times New Roman"/>
          <w:sz w:val="18"/>
          <w:szCs w:val="18"/>
          <w:color w:val="000000"/>
        </w:rPr>
        <w: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as of December 2, 2023 and June 3,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December 2, 2023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June 3, 2023</w:t>
            </w:r>
          </w:p>
        </w:tc>
      </w:tr>
      <w:tr>
        <w:trPr>
          <w:trHeight w:val="223"/>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162,323</w:t>
            </w:r>
          </w:p>
        </w:tc>
        <w:tc>
          <w:tcPr>
            <w:tcW w:w="1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164,540</w:t>
            </w:r>
          </w:p>
        </w:tc>
      </w:tr>
      <w:tr>
        <w:trPr>
          <w:trHeight w:val="230"/>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Eggs and egg products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w:t>
            </w:r>
          </w:p>
        </w:tc>
      </w:tr>
      <w:tr>
        <w:trPr>
          <w:trHeight w:val="229"/>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91,560</w:t>
            </w:r>
          </w:p>
        </w:tc>
      </w:tr>
      <w:tr>
        <w:trPr>
          <w:trHeight w:val="223"/>
        </w:trPr>
        <w:tc>
          <w:tcPr>
            <w:tcW w:w="58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287,270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284,418</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December 2, 2023 and June 3, 2023 consisted of approximately 10.6 million and 10.8 million pullets and breeders and 43.3 million and 41.2 million layers,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equity activity for the thirteen weeks ended December 2, 2023 and November 26, 2022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color w:val="auto"/>
                <w:w w:val="99"/>
              </w:rPr>
              <w:t>Thirteen Weeks Ended December 2, 2023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2"/>
          </w:tcPr>
          <w:p>
            <w:pPr>
              <w:jc w:val="right"/>
              <w:ind w:right="25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Accum.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Retained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Treasury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Capital</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Comp. Loss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(30,014)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73,153</w:t>
            </w: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1,571,744</w:t>
            </w:r>
          </w:p>
        </w:tc>
        <w:tc>
          <w:tcPr>
            <w:tcW w:w="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shd w:val="clear" w:color="auto" w:fill="CCEEFF"/>
              </w:rPr>
              <w:t>1,611,330</w:t>
            </w:r>
          </w:p>
        </w:tc>
        <w:tc>
          <w:tcPr>
            <w:tcW w:w="0" w:type="dxa"/>
            <w:vAlign w:val="bottom"/>
          </w:tcPr>
          <w:p>
            <w:pPr>
              <w:spacing w:after="0"/>
              <w:rPr>
                <w:sz w:val="1"/>
                <w:szCs w:val="1"/>
                <w:color w:val="auto"/>
              </w:rPr>
            </w:pPr>
          </w:p>
        </w:tc>
      </w:tr>
      <w:tr>
        <w:trPr>
          <w:trHeight w:val="225"/>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52"/>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($0.116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30"/>
        </w:trPr>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16,578</w:t>
            </w:r>
          </w:p>
        </w:tc>
        <w:tc>
          <w:tcPr>
            <w:tcW w:w="0" w:type="dxa"/>
            <w:vAlign w:val="bottom"/>
          </w:tcPr>
          <w:p>
            <w:pPr>
              <w:spacing w:after="0"/>
              <w:rPr>
                <w:sz w:val="1"/>
                <w:szCs w:val="1"/>
                <w:color w:val="auto"/>
              </w:rPr>
            </w:pPr>
          </w:p>
        </w:tc>
      </w:tr>
      <w:tr>
        <w:trPr>
          <w:trHeight w:val="232"/>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2, 2023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$ 74,214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1,583,071</w:t>
            </w:r>
          </w:p>
        </w:tc>
        <w:tc>
          <w:tcPr>
            <w:tcW w:w="2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1,623,964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80"/>
          </w:cols>
          <w:pgMar w:left="1320" w:top="311" w:right="12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2"/>
              </w:rPr>
              <w:t>Index</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5"/>
          </w:tcPr>
          <w:p>
            <w:pPr>
              <w:jc w:val="center"/>
              <w:ind w:right="80"/>
              <w:spacing w:after="0"/>
              <w:rPr>
                <w:sz w:val="20"/>
                <w:szCs w:val="20"/>
                <w:color w:val="auto"/>
              </w:rPr>
            </w:pPr>
            <w:r>
              <w:rPr>
                <w:rFonts w:ascii="Times New Roman" w:cs="Times New Roman" w:eastAsia="Times New Roman" w:hAnsi="Times New Roman"/>
                <w:sz w:val="18"/>
                <w:szCs w:val="18"/>
                <w:color w:val="auto"/>
                <w:w w:val="99"/>
              </w:rPr>
              <w:t>Thirteen Weeks Ended November 26, 2022</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3"/>
          </w:tcPr>
          <w:p>
            <w:pPr>
              <w:jc w:val="right"/>
              <w:ind w:right="25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20"/>
                <w:szCs w:val="20"/>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Paid In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Accum.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28,</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(28,495)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69,017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1,149,399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shd w:val="clear" w:color="auto" w:fill="CCEEFF"/>
              </w:rPr>
              <w:t>1,187,963</w:t>
            </w:r>
          </w:p>
        </w:tc>
        <w:tc>
          <w:tcPr>
            <w:tcW w:w="0" w:type="dxa"/>
            <w:vAlign w:val="bottom"/>
          </w:tcPr>
          <w:p>
            <w:pPr>
              <w:spacing w:after="0"/>
              <w:rPr>
                <w:sz w:val="1"/>
                <w:szCs w:val="1"/>
                <w:color w:val="auto"/>
              </w:rPr>
            </w:pPr>
          </w:p>
        </w:tc>
      </w:tr>
      <w:tr>
        <w:trPr>
          <w:trHeight w:val="239"/>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9"/>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($1.353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(59,708)</w:t>
            </w:r>
          </w:p>
        </w:tc>
        <w:tc>
          <w:tcPr>
            <w:tcW w:w="0" w:type="dxa"/>
            <w:vAlign w:val="bottom"/>
          </w:tcPr>
          <w:p>
            <w:pPr>
              <w:spacing w:after="0"/>
              <w:rPr>
                <w:sz w:val="1"/>
                <w:szCs w:val="1"/>
                <w:color w:val="auto"/>
              </w:rPr>
            </w:pPr>
          </w:p>
        </w:tc>
      </w:tr>
      <w:tr>
        <w:trPr>
          <w:trHeight w:val="230"/>
        </w:trPr>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198,294</w:t>
            </w:r>
          </w:p>
        </w:tc>
        <w:tc>
          <w:tcPr>
            <w:tcW w:w="0" w:type="dxa"/>
            <w:vAlign w:val="bottom"/>
          </w:tcPr>
          <w:p>
            <w:pPr>
              <w:spacing w:after="0"/>
              <w:rPr>
                <w:sz w:val="1"/>
                <w:szCs w:val="1"/>
                <w:color w:val="auto"/>
              </w:rPr>
            </w:pPr>
          </w:p>
        </w:tc>
      </w:tr>
      <w:tr>
        <w:trPr>
          <w:trHeight w:val="232"/>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Balance at November</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26, 2022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$ 70,005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1,320,305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6"/>
          </w:tcPr>
          <w:p>
            <w:pPr>
              <w:jc w:val="center"/>
              <w:ind w:left="490"/>
              <w:spacing w:after="0"/>
              <w:rPr>
                <w:sz w:val="20"/>
                <w:szCs w:val="20"/>
                <w:color w:val="auto"/>
              </w:rPr>
            </w:pPr>
            <w:r>
              <w:rPr>
                <w:rFonts w:ascii="Times New Roman" w:cs="Times New Roman" w:eastAsia="Times New Roman" w:hAnsi="Times New Roman"/>
                <w:sz w:val="18"/>
                <w:szCs w:val="18"/>
                <w:color w:val="auto"/>
                <w:w w:val="99"/>
              </w:rPr>
              <w:t>Twenty-six Weeks Ended December 2, 2023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3"/>
          </w:tcPr>
          <w:p>
            <w:pPr>
              <w:jc w:val="right"/>
              <w:ind w:right="25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Accum.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w:t>
            </w:r>
          </w:p>
        </w:tc>
        <w:tc>
          <w:tcPr>
            <w:tcW w:w="40" w:type="dxa"/>
            <w:vAlign w:val="bottom"/>
            <w:gridSpan w:val="2"/>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(30,008)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72,112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1,571,112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(1,498)</w:t>
            </w:r>
          </w:p>
        </w:tc>
        <w:tc>
          <w:tcPr>
            <w:tcW w:w="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1,609,583</w:t>
            </w:r>
          </w:p>
        </w:tc>
        <w:tc>
          <w:tcPr>
            <w:tcW w:w="0" w:type="dxa"/>
            <w:vAlign w:val="bottom"/>
          </w:tcPr>
          <w:p>
            <w:pPr>
              <w:spacing w:after="0"/>
              <w:rPr>
                <w:sz w:val="1"/>
                <w:szCs w:val="1"/>
                <w:color w:val="auto"/>
              </w:rPr>
            </w:pPr>
          </w:p>
        </w:tc>
      </w:tr>
      <w:tr>
        <w:trPr>
          <w:trHeight w:val="239"/>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5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3"/>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9"/>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($0.122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30"/>
        </w:trPr>
        <w:tc>
          <w:tcPr>
            <w:tcW w:w="1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16,989</w:t>
            </w:r>
          </w:p>
        </w:tc>
        <w:tc>
          <w:tcPr>
            <w:tcW w:w="0" w:type="dxa"/>
            <w:vAlign w:val="bottom"/>
          </w:tcPr>
          <w:p>
            <w:pPr>
              <w:spacing w:after="0"/>
              <w:rPr>
                <w:sz w:val="1"/>
                <w:szCs w:val="1"/>
                <w:color w:val="auto"/>
              </w:rPr>
            </w:pPr>
          </w:p>
        </w:tc>
      </w:tr>
      <w:tr>
        <w:trPr>
          <w:trHeight w:val="232"/>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2, 2023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$ 74,214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1,583,071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1,623,964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240"/>
          </w:cols>
          <w:pgMar w:left="1320" w:top="297" w:right="1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40"/>
          </w:cols>
          <w:pgMar w:left="1320" w:top="297" w:right="1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53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2"/>
              </w:rPr>
              <w:t>Index</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660" w:type="dxa"/>
            <w:vAlign w:val="bottom"/>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53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3970" w:type="dxa"/>
            <w:vAlign w:val="bottom"/>
            <w:tcBorders>
              <w:bottom w:val="single" w:sz="8" w:color="auto"/>
            </w:tcBorders>
            <w:gridSpan w:val="16"/>
          </w:tcPr>
          <w:p>
            <w:pPr>
              <w:jc w:val="right"/>
              <w:ind w:right="13"/>
              <w:spacing w:after="0"/>
              <w:rPr>
                <w:sz w:val="20"/>
                <w:szCs w:val="20"/>
                <w:color w:val="auto"/>
              </w:rPr>
            </w:pPr>
            <w:r>
              <w:rPr>
                <w:rFonts w:ascii="Times New Roman" w:cs="Times New Roman" w:eastAsia="Times New Roman" w:hAnsi="Times New Roman"/>
                <w:sz w:val="18"/>
                <w:szCs w:val="18"/>
                <w:color w:val="auto"/>
              </w:rPr>
              <w:t>Twenty-six Weeks Ended November 26, 2022</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53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2"/>
          </w:tcPr>
          <w:p>
            <w:pPr>
              <w:jc w:val="right"/>
              <w:ind w:right="21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53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Noncontrollin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53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73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Treasury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Accum. 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Retained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19"/>
                <w:szCs w:val="19"/>
                <w:color w:val="auto"/>
              </w:rPr>
            </w:pPr>
          </w:p>
        </w:tc>
        <w:tc>
          <w:tcPr>
            <w:tcW w:w="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90" w:type="dxa"/>
            <w:vAlign w:val="bottom"/>
          </w:tcPr>
          <w:p>
            <w:pPr>
              <w:spacing w:after="0"/>
              <w:rPr>
                <w:sz w:val="19"/>
                <w:szCs w:val="19"/>
                <w:color w:val="auto"/>
              </w:rPr>
            </w:pPr>
          </w:p>
        </w:tc>
        <w:tc>
          <w:tcPr>
            <w:tcW w:w="73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Capital</w:t>
            </w:r>
          </w:p>
        </w:tc>
        <w:tc>
          <w:tcPr>
            <w:tcW w:w="20" w:type="dxa"/>
            <w:vAlign w:val="bottom"/>
          </w:tcPr>
          <w:p>
            <w:pPr>
              <w:spacing w:after="0"/>
              <w:rPr>
                <w:sz w:val="19"/>
                <w:szCs w:val="19"/>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Comp. Loss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Earnings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7"/>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28,</w:t>
            </w:r>
          </w:p>
        </w:tc>
        <w:tc>
          <w:tcPr>
            <w:tcW w:w="170" w:type="dxa"/>
            <w:vAlign w:val="bottom"/>
            <w:tcBorders>
              <w:top w:val="single" w:sz="8" w:color="auto"/>
            </w:tcBorders>
            <w:shd w:val="clear" w:color="auto" w:fill="CCEEFF"/>
          </w:tcPr>
          <w:p>
            <w:pPr>
              <w:spacing w:after="0"/>
              <w:rPr>
                <w:sz w:val="20"/>
                <w:szCs w:val="20"/>
                <w:color w:val="auto"/>
              </w:rPr>
            </w:pPr>
          </w:p>
        </w:tc>
        <w:tc>
          <w:tcPr>
            <w:tcW w:w="53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90" w:type="dxa"/>
            <w:vAlign w:val="bottom"/>
            <w:tcBorders>
              <w:top w:val="single" w:sz="8" w:color="auto"/>
            </w:tcBorders>
            <w:shd w:val="clear" w:color="auto" w:fill="CCEEFF"/>
          </w:tcPr>
          <w:p>
            <w:pPr>
              <w:spacing w:after="0"/>
              <w:rPr>
                <w:sz w:val="20"/>
                <w:szCs w:val="20"/>
                <w:color w:val="auto"/>
              </w:rPr>
            </w:pPr>
          </w:p>
        </w:tc>
        <w:tc>
          <w:tcPr>
            <w:tcW w:w="73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17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(28,447)</w:t>
            </w:r>
          </w:p>
        </w:tc>
        <w:tc>
          <w:tcPr>
            <w:tcW w:w="1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67,989</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(1,596)</w:t>
            </w:r>
          </w:p>
        </w:tc>
        <w:tc>
          <w:tcPr>
            <w:tcW w:w="260" w:type="dxa"/>
            <w:vAlign w:val="bottom"/>
            <w:gridSpan w:val="4"/>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1,065,854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1,104,345</w:t>
            </w:r>
          </w:p>
        </w:tc>
        <w:tc>
          <w:tcPr>
            <w:tcW w:w="0" w:type="dxa"/>
            <w:vAlign w:val="bottom"/>
          </w:tcPr>
          <w:p>
            <w:pPr>
              <w:spacing w:after="0"/>
              <w:rPr>
                <w:sz w:val="1"/>
                <w:szCs w:val="1"/>
                <w:color w:val="auto"/>
              </w:rPr>
            </w:pPr>
          </w:p>
        </w:tc>
      </w:tr>
      <w:tr>
        <w:trPr>
          <w:trHeight w:val="239"/>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17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70" w:type="dxa"/>
            <w:vAlign w:val="bottom"/>
            <w:shd w:val="clear" w:color="auto" w:fill="CCEEFF"/>
          </w:tcPr>
          <w:p>
            <w:pPr>
              <w:spacing w:after="0"/>
              <w:rPr>
                <w:sz w:val="22"/>
                <w:szCs w:val="22"/>
                <w:color w:val="auto"/>
              </w:rPr>
            </w:pPr>
          </w:p>
        </w:tc>
        <w:tc>
          <w:tcPr>
            <w:tcW w:w="5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 w:type="dxa"/>
            <w:vAlign w:val="bottom"/>
            <w:shd w:val="clear" w:color="auto" w:fill="CCEEFF"/>
          </w:tcPr>
          <w:p>
            <w:pPr>
              <w:spacing w:after="0"/>
              <w:rPr>
                <w:sz w:val="22"/>
                <w:szCs w:val="22"/>
                <w:color w:val="auto"/>
              </w:rPr>
            </w:pPr>
          </w:p>
        </w:tc>
        <w:tc>
          <w:tcPr>
            <w:tcW w:w="7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17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3"/>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29"/>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($2.206</w:t>
            </w:r>
          </w:p>
        </w:tc>
        <w:tc>
          <w:tcPr>
            <w:tcW w:w="170" w:type="dxa"/>
            <w:vAlign w:val="bottom"/>
            <w:shd w:val="clear" w:color="auto" w:fill="CCEEFF"/>
          </w:tcPr>
          <w:p>
            <w:pPr>
              <w:spacing w:after="0"/>
              <w:rPr>
                <w:sz w:val="22"/>
                <w:szCs w:val="22"/>
                <w:color w:val="auto"/>
              </w:rPr>
            </w:pPr>
          </w:p>
        </w:tc>
        <w:tc>
          <w:tcPr>
            <w:tcW w:w="5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 w:type="dxa"/>
            <w:vAlign w:val="bottom"/>
            <w:shd w:val="clear" w:color="auto" w:fill="CCEEFF"/>
          </w:tcPr>
          <w:p>
            <w:pPr>
              <w:spacing w:after="0"/>
              <w:rPr>
                <w:sz w:val="22"/>
                <w:szCs w:val="22"/>
                <w:color w:val="auto"/>
              </w:rPr>
            </w:pPr>
          </w:p>
        </w:tc>
        <w:tc>
          <w:tcPr>
            <w:tcW w:w="7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per share)</w:t>
            </w:r>
          </w:p>
        </w:tc>
        <w:tc>
          <w:tcPr>
            <w:tcW w:w="17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3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(97,355)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(97,355)</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170" w:type="dxa"/>
            <w:vAlign w:val="bottom"/>
            <w:shd w:val="clear" w:color="auto" w:fill="CCEEFF"/>
          </w:tcPr>
          <w:p>
            <w:pPr>
              <w:spacing w:after="0"/>
              <w:rPr>
                <w:sz w:val="19"/>
                <w:szCs w:val="19"/>
                <w:color w:val="auto"/>
              </w:rPr>
            </w:pPr>
          </w:p>
        </w:tc>
        <w:tc>
          <w:tcPr>
            <w:tcW w:w="5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3"/>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70" w:type="dxa"/>
            <w:vAlign w:val="bottom"/>
            <w:tcBorders>
              <w:bottom w:val="single" w:sz="8" w:color="auto"/>
            </w:tcBorders>
          </w:tcPr>
          <w:p>
            <w:pPr>
              <w:spacing w:after="0"/>
              <w:rPr>
                <w:sz w:val="21"/>
                <w:szCs w:val="21"/>
                <w:color w:val="auto"/>
              </w:rPr>
            </w:pPr>
          </w:p>
        </w:tc>
        <w:tc>
          <w:tcPr>
            <w:tcW w:w="5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auto"/>
            </w:tcBorders>
          </w:tcPr>
          <w:p>
            <w:pPr>
              <w:spacing w:after="0"/>
              <w:rPr>
                <w:sz w:val="21"/>
                <w:szCs w:val="21"/>
                <w:color w:val="auto"/>
              </w:rPr>
            </w:pPr>
          </w:p>
        </w:tc>
        <w:tc>
          <w:tcPr>
            <w:tcW w:w="7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323,874</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323,428</w:t>
            </w:r>
          </w:p>
        </w:tc>
        <w:tc>
          <w:tcPr>
            <w:tcW w:w="0" w:type="dxa"/>
            <w:vAlign w:val="bottom"/>
          </w:tcPr>
          <w:p>
            <w:pPr>
              <w:spacing w:after="0"/>
              <w:rPr>
                <w:sz w:val="1"/>
                <w:szCs w:val="1"/>
                <w:color w:val="auto"/>
              </w:rPr>
            </w:pPr>
          </w:p>
        </w:tc>
      </w:tr>
      <w:tr>
        <w:trPr>
          <w:trHeight w:val="25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170" w:type="dxa"/>
            <w:vAlign w:val="bottom"/>
            <w:shd w:val="clear" w:color="auto" w:fill="CCEEFF"/>
          </w:tcPr>
          <w:p>
            <w:pPr>
              <w:spacing w:after="0"/>
              <w:rPr>
                <w:sz w:val="21"/>
                <w:szCs w:val="21"/>
                <w:color w:val="auto"/>
              </w:rPr>
            </w:pPr>
          </w:p>
        </w:tc>
        <w:tc>
          <w:tcPr>
            <w:tcW w:w="53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0" w:type="dxa"/>
            <w:vAlign w:val="bottom"/>
            <w:shd w:val="clear" w:color="auto" w:fill="CCEEFF"/>
          </w:tcPr>
          <w:p>
            <w:pPr>
              <w:spacing w:after="0"/>
              <w:rPr>
                <w:sz w:val="21"/>
                <w:szCs w:val="21"/>
                <w:color w:val="auto"/>
              </w:rPr>
            </w:pPr>
          </w:p>
        </w:tc>
        <w:tc>
          <w:tcPr>
            <w:tcW w:w="73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26, 2022</w:t>
            </w:r>
          </w:p>
        </w:tc>
        <w:tc>
          <w:tcPr>
            <w:tcW w:w="17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3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3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(28,496)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70,005</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(3,087)</w:t>
            </w:r>
          </w:p>
        </w:tc>
        <w:tc>
          <w:tcPr>
            <w:tcW w:w="60" w:type="dxa"/>
            <w:vAlign w:val="bottom"/>
            <w:tcBorders>
              <w:bottom w:val="single" w:sz="8" w:color="auto"/>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1,281,784</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(652)</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1,320,305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7 - Net Income per Common Share</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Common Stock and Class A Common Stock outstanding. Diluted net income per share is based on weighted-average common shares outstanding during the relevant period adjusted for the dilutive effect of share-based awards.</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per common share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7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89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23"/>
        </w:trPr>
        <w:tc>
          <w:tcPr>
            <w:tcW w:w="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26, 2022</w:t>
            </w: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26, 2022</w:t>
            </w:r>
          </w:p>
        </w:tc>
      </w:tr>
      <w:tr>
        <w:trPr>
          <w:trHeight w:val="223"/>
        </w:trPr>
        <w:tc>
          <w:tcPr>
            <w:tcW w:w="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3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198,294</w:t>
            </w:r>
          </w:p>
        </w:tc>
        <w:tc>
          <w:tcPr>
            <w:tcW w:w="2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323,428</w:t>
            </w:r>
          </w:p>
        </w:tc>
      </w:tr>
      <w:tr>
        <w:trPr>
          <w:trHeight w:val="243"/>
        </w:trPr>
        <w:tc>
          <w:tcPr>
            <w:tcW w:w="40" w:type="dxa"/>
            <w:vAlign w:val="bottom"/>
            <w:shd w:val="clear" w:color="auto" w:fill="CCEEFF"/>
          </w:tcPr>
          <w:p>
            <w:pPr>
              <w:spacing w:after="0"/>
              <w:rPr>
                <w:sz w:val="21"/>
                <w:szCs w:val="21"/>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Loss attributable to</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0" w:type="dxa"/>
            <w:vAlign w:val="bottom"/>
            <w:shd w:val="clear" w:color="auto" w:fill="CCEEFF"/>
          </w:tcPr>
          <w:p>
            <w:pPr>
              <w:spacing w:after="0"/>
              <w:rPr>
                <w:sz w:val="21"/>
                <w:szCs w:val="21"/>
                <w:color w:val="auto"/>
              </w:rPr>
            </w:pPr>
          </w:p>
        </w:tc>
        <w:tc>
          <w:tcPr>
            <w:tcW w:w="133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6"/>
        </w:trPr>
        <w:tc>
          <w:tcPr>
            <w:tcW w:w="40" w:type="dxa"/>
            <w:vAlign w:val="bottom"/>
            <w:shd w:val="clear" w:color="auto" w:fill="CCEEFF"/>
          </w:tcPr>
          <w:p>
            <w:pPr>
              <w:spacing w:after="0"/>
              <w:rPr>
                <w:sz w:val="18"/>
                <w:szCs w:val="18"/>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CEEFF"/>
          </w:tcPr>
          <w:p>
            <w:pPr>
              <w:spacing w:after="0"/>
              <w:rPr>
                <w:sz w:val="18"/>
                <w:szCs w:val="18"/>
                <w:color w:val="auto"/>
              </w:rPr>
            </w:pPr>
          </w:p>
        </w:tc>
        <w:tc>
          <w:tcPr>
            <w:tcW w:w="170" w:type="dxa"/>
            <w:vAlign w:val="bottom"/>
            <w:tcBorders>
              <w:bottom w:val="single" w:sz="8" w:color="auto"/>
            </w:tcBorders>
            <w:shd w:val="clear" w:color="auto" w:fill="CCEEFF"/>
          </w:tcPr>
          <w:p>
            <w:pPr>
              <w:spacing w:after="0"/>
              <w:rPr>
                <w:sz w:val="18"/>
                <w:szCs w:val="18"/>
                <w:color w:val="auto"/>
              </w:rPr>
            </w:pPr>
          </w:p>
        </w:tc>
        <w:tc>
          <w:tcPr>
            <w:tcW w:w="133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2"/>
        </w:trPr>
        <w:tc>
          <w:tcPr>
            <w:tcW w:w="40" w:type="dxa"/>
            <w:vAlign w:val="bottom"/>
          </w:tcPr>
          <w:p>
            <w:pPr>
              <w:spacing w:after="0"/>
              <w:rPr>
                <w:sz w:val="20"/>
                <w:szCs w:val="20"/>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3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Foods, Inc.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198,587</w:t>
            </w:r>
          </w:p>
        </w:tc>
        <w:tc>
          <w:tcPr>
            <w:tcW w:w="2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323,874</w:t>
            </w:r>
          </w:p>
        </w:tc>
      </w:tr>
      <w:tr>
        <w:trPr>
          <w:trHeight w:val="183"/>
        </w:trPr>
        <w:tc>
          <w:tcPr>
            <w:tcW w:w="30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 w:type="dxa"/>
            <w:vAlign w:val="bottom"/>
            <w:tcBorders>
              <w:top w:val="single" w:sz="8" w:color="auto"/>
            </w:tcBorders>
            <w:shd w:val="clear" w:color="auto" w:fill="CCEEFF"/>
          </w:tcPr>
          <w:p>
            <w:pPr>
              <w:spacing w:after="0"/>
              <w:rPr>
                <w:sz w:val="15"/>
                <w:szCs w:val="15"/>
                <w:color w:val="auto"/>
              </w:rPr>
            </w:pPr>
          </w:p>
        </w:tc>
        <w:tc>
          <w:tcPr>
            <w:tcW w:w="133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229"/>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3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70" w:type="dxa"/>
            <w:vAlign w:val="bottom"/>
            <w:shd w:val="clear" w:color="auto" w:fill="CCEEFF"/>
          </w:tcPr>
          <w:p>
            <w:pPr>
              <w:spacing w:after="0"/>
              <w:rPr>
                <w:sz w:val="22"/>
                <w:szCs w:val="22"/>
                <w:color w:val="auto"/>
              </w:rPr>
            </w:pPr>
          </w:p>
        </w:tc>
        <w:tc>
          <w:tcPr>
            <w:tcW w:w="13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48,690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48,624</w:t>
            </w:r>
          </w:p>
        </w:tc>
        <w:tc>
          <w:tcPr>
            <w:tcW w:w="4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133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48,691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48,624</w:t>
            </w:r>
          </w:p>
        </w:tc>
      </w:tr>
      <w:tr>
        <w:trPr>
          <w:trHeight w:val="230"/>
        </w:trPr>
        <w:tc>
          <w:tcPr>
            <w:tcW w:w="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63"/>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70" w:type="dxa"/>
            <w:vAlign w:val="bottom"/>
            <w:shd w:val="clear" w:color="auto" w:fill="CCEEFF"/>
          </w:tcPr>
          <w:p>
            <w:pPr>
              <w:spacing w:after="0"/>
              <w:rPr>
                <w:sz w:val="22"/>
                <w:szCs w:val="22"/>
                <w:color w:val="auto"/>
              </w:rPr>
            </w:pPr>
          </w:p>
        </w:tc>
        <w:tc>
          <w:tcPr>
            <w:tcW w:w="13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48,866</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48,840</w:t>
            </w:r>
          </w:p>
        </w:tc>
        <w:tc>
          <w:tcPr>
            <w:tcW w:w="40" w:type="dxa"/>
            <w:vAlign w:val="bottom"/>
            <w:shd w:val="clear" w:color="auto" w:fill="CCEEFF"/>
          </w:tcPr>
          <w:p>
            <w:pPr>
              <w:spacing w:after="0"/>
              <w:rPr>
                <w:sz w:val="17"/>
                <w:szCs w:val="17"/>
                <w:color w:val="auto"/>
              </w:rPr>
            </w:pPr>
          </w:p>
        </w:tc>
        <w:tc>
          <w:tcPr>
            <w:tcW w:w="170" w:type="dxa"/>
            <w:vAlign w:val="bottom"/>
            <w:tcBorders>
              <w:bottom w:val="single" w:sz="8" w:color="auto"/>
            </w:tcBorders>
            <w:shd w:val="clear" w:color="auto" w:fill="CCEEFF"/>
          </w:tcPr>
          <w:p>
            <w:pPr>
              <w:spacing w:after="0"/>
              <w:rPr>
                <w:sz w:val="17"/>
                <w:szCs w:val="17"/>
                <w:color w:val="auto"/>
              </w:rPr>
            </w:pPr>
          </w:p>
        </w:tc>
        <w:tc>
          <w:tcPr>
            <w:tcW w:w="133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48,854</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48,827</w:t>
            </w:r>
          </w:p>
        </w:tc>
      </w:tr>
      <w:tr>
        <w:trPr>
          <w:trHeight w:val="20"/>
        </w:trPr>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33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33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6"/>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70" w:type="dxa"/>
            <w:vAlign w:val="bottom"/>
            <w:shd w:val="clear" w:color="auto" w:fill="CCEEFF"/>
          </w:tcPr>
          <w:p>
            <w:pPr>
              <w:spacing w:after="0"/>
              <w:rPr>
                <w:sz w:val="22"/>
                <w:szCs w:val="22"/>
                <w:color w:val="auto"/>
              </w:rPr>
            </w:pPr>
          </w:p>
        </w:tc>
        <w:tc>
          <w:tcPr>
            <w:tcW w:w="133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attributable to Cal-Maine Foods,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133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83"/>
        </w:trPr>
        <w:tc>
          <w:tcPr>
            <w:tcW w:w="40" w:type="dxa"/>
            <w:vAlign w:val="bottom"/>
          </w:tcPr>
          <w:p>
            <w:pPr>
              <w:spacing w:after="0"/>
              <w:rPr>
                <w:sz w:val="24"/>
                <w:szCs w:val="24"/>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2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3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tcBorders>
              <w:bottom w:val="single" w:sz="8" w:color="auto"/>
            </w:tcBorders>
            <w:shd w:val="clear" w:color="auto" w:fill="CCEEFF"/>
          </w:tcPr>
          <w:p>
            <w:pPr>
              <w:spacing w:after="0"/>
              <w:rPr>
                <w:sz w:val="20"/>
                <w:szCs w:val="20"/>
                <w:color w:val="auto"/>
              </w:rPr>
            </w:pPr>
          </w:p>
        </w:tc>
        <w:tc>
          <w:tcPr>
            <w:tcW w:w="17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3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33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320" w:top="2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80"/>
          </w:cols>
          <w:pgMar w:left="1320" w:top="297" w:right="1299" w:bottom="144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of Performance Obligation</w:t>
      </w:r>
    </w:p>
    <w:p>
      <w:pPr>
        <w:spacing w:after="0" w:line="2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vast majority of the Company’s revenue is derived from agreements with customers based on the customer placing an order for products. Pricing for the most part is determined when the Company and the customer agree upon the specific order, which establishes the contract for that order.</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the goods. Our shell eggs are sold at prices related to independently quoted wholesale market prices or formulas related to our costs of production. The Company’s sales predominantly contain a single performance obligation. We recognize revenue upon satisfaction of the performance obligation with the customer, which typically occurs within days of the Company and the customer agreeing upon the order.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Refunds</w:t>
      </w:r>
    </w:p>
    <w:p>
      <w:pPr>
        <w:spacing w:after="0" w:line="21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Some of our contracts include a guaranteed sale clause, pursuant to which we credit the customer’s account for product that the customer is unable to sell before expiration. The Company records an allowance for expected customer returns using historical return data compared to current period sales and accounts receivable. The allowance is recorded as a reduction of sales in the same period the revenue is recognized.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Incentives Provided to Customers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sales price based on estimated future redemption rates. Redemption rates are estimated using the Company’s historical experience for similar inducement offers. Current discount and inducement offers are presented as a net amount in ‘‘Net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Twenty-six Weeks Ended</w:t>
            </w:r>
          </w:p>
        </w:tc>
      </w:tr>
      <w:tr>
        <w:trPr>
          <w:trHeight w:val="209"/>
        </w:trPr>
        <w:tc>
          <w:tcPr>
            <w:tcW w:w="3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26,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2, 2023</w:t>
            </w:r>
          </w:p>
        </w:tc>
        <w:tc>
          <w:tcPr>
            <w:tcW w:w="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November 26, 2022</w:t>
            </w:r>
          </w:p>
        </w:tc>
      </w:tr>
      <w:tr>
        <w:trPr>
          <w:trHeight w:val="223"/>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280,599</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541,917</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505,879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967,506</w:t>
            </w:r>
          </w:p>
        </w:tc>
      </w:tr>
      <w:tr>
        <w:trPr>
          <w:trHeight w:val="229"/>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217,905</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227,778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426,586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428,598</w:t>
            </w:r>
          </w:p>
        </w:tc>
      </w:tr>
      <w:tr>
        <w:trPr>
          <w:trHeight w:val="230"/>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20,012</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28,052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55,692</w:t>
            </w:r>
          </w:p>
        </w:tc>
      </w:tr>
      <w:tr>
        <w:trPr>
          <w:trHeight w:val="230"/>
        </w:trPr>
        <w:tc>
          <w:tcPr>
            <w:tcW w:w="3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4,718</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8,248</w:t>
            </w:r>
          </w:p>
        </w:tc>
      </w:tr>
      <w:tr>
        <w:trPr>
          <w:trHeight w:val="223"/>
        </w:trPr>
        <w:tc>
          <w:tcPr>
            <w:tcW w:w="3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523,234</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801,700</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982,578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1,460,044</w:t>
            </w:r>
          </w:p>
        </w:tc>
      </w:tr>
      <w:tr>
        <w:trPr>
          <w:trHeight w:val="20"/>
        </w:trPr>
        <w:tc>
          <w:tcPr>
            <w:tcW w:w="3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can incur costs to obtain or fulfill a contract with a customer. If the amortization period of these costs is less than one year, they are expensed as incurred. When the amortization period is greater than one year, a contract asset is recognized and is amortized over the contract life as a reduction in net sales. As of December 2, 2023 and June 3, 2023, the balance for contract assets was immaterial.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rarely contract assets or liabilities related to performance under the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Based Compensation</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Total stock-based compensation expense was $ 2.1 and $2.0 million for the twenty-six weeks ended December 2, 2023 and November 26, 2022, respectively.</w:t>
      </w:r>
    </w:p>
    <w:p>
      <w:pPr>
        <w:sectPr>
          <w:pgSz w:w="11900" w:h="16838" w:orient="portrait"/>
          <w:cols w:equalWidth="0" w:num="1">
            <w:col w:w="9280"/>
          </w:cols>
          <w:pgMar w:left="1320" w:top="311" w:right="1299" w:bottom="1440" w:gutter="0" w:footer="0" w:header="0"/>
        </w:sect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80"/>
          </w:cols>
          <w:pgMar w:left="1320" w:top="311" w:right="1299" w:bottom="1440" w:gutter="0" w:footer="0" w:header="0"/>
          <w:type w:val="continuous"/>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restricted stock outstanding under the Amended and Restated 2012 Omnibus Long-Term Incentive Plan at December 2, 2023 of $ 5.0 million will be recorded over a weighted average period of 1.7 years. Refer to Part II Item 8, Notes to Consolidated Financial Statements and Supplementary Data, Note 14 - Stock Compensation Plans in our 2023 Annual Report for further information on our stock compensation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share activity for the twenty-six weeks ended December 2, 2023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 Grant</w:t>
            </w:r>
          </w:p>
        </w:tc>
      </w:tr>
      <w:tr>
        <w:trPr>
          <w:trHeight w:val="211"/>
        </w:trPr>
        <w:tc>
          <w:tcPr>
            <w:tcW w:w="66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June 3, 2023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294,140</w:t>
            </w:r>
          </w:p>
        </w:tc>
        <w:tc>
          <w:tcPr>
            <w:tcW w:w="1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r>
      <w:tr>
        <w:trPr>
          <w:trHeight w:val="23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r>
      <w:tr>
        <w:trPr>
          <w:trHeight w:val="229"/>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44.68</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December 2, 2023</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292,506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43.72</w:t>
            </w:r>
          </w:p>
        </w:tc>
      </w:tr>
      <w:tr>
        <w:trPr>
          <w:trHeight w:val="20"/>
        </w:trPr>
        <w:tc>
          <w:tcPr>
            <w:tcW w:w="6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appealed the First District Court’s decision to the Supreme Court of Texas. On September 29, 2023, the Supreme Court of Texas denied the Company’s Petition for Review so the case will be remanded to the trial court for further proceedings. Management believes the risk of material loss related to this matter to be remote.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Bell et al. v. Cal-Maine Foods et al.</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April 30, 2020, the Company was named as one of several defendants in Bell et al. v. Cal-Maine Foods et al., Case No. 1:20-cv-461, in the Western District of Texas, Austin Division. The defendants include numerous grocery stores, retailers, producers, and farms. Plaintiffs assert that defendants violated the DTPA by allegedly demanding exorbitant or excessive prices for eggs during the COVID-19 state of emergency. Plaintiffs request certification of a class of all consumers who purchased eggs in Texas sold, distributed, produced, or handled by any of the defendants during the COVID-19 state of emergency. Plaintiffs seek to enjoin the Company and other defendants from selling eggs at a price more than 10% greater than the price of eggs prior to the declaration of the state of emergency and damages in the amount of $10,000 per violation, or $250,000 for each violation impacting anyone over 65 years old. On December 1, 2020, the Company and certain other defendants filed a motion to dismiss the plaintiffs’ amended class action complaint. The plaintiffs subsequently filed a motion to strike, and the motion to dismiss and related proceedings were referred to a United States magistrate judge. On July 14, 2021, the magistrate judge issued a report and recommendation to the court that the defendants’ motion to dismiss be granted and the case be dismissed without prejudice for lack of subject matter jurisdiction. On September 20, 2021, the court dismissed the case without prejudice. On July 13, 2022, the court denied the plaintiffs’ motion to set aside or amend the judgment to amend their complaint.</w:t>
      </w:r>
    </w:p>
    <w:p>
      <w:pPr>
        <w:sectPr>
          <w:pgSz w:w="11900" w:h="16838" w:orient="portrait"/>
          <w:cols w:equalWidth="0" w:num="1">
            <w:col w:w="9320"/>
          </w:cols>
          <w:pgMar w:left="1320" w:top="31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320"/>
          </w:cols>
          <w:pgMar w:left="1320" w:top="311" w:right="125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On March 15, 2022, plaintiffs filed a second suit against the Company and several defendants in Bell et al. v. Cal-Maine Foods et al., Case No. 1:22-cv-246, in the Western District of Texas, Austin Division alleging the same assertions as laid out in the first complaint. On August 12, 2022, the Company and other defendants in the case filed a motion to dismiss the plaintiffs’ class action complaint. On January 9, 2023, the court entered an order and final judgement granting the Company’s motion to dismiss.</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8, 2023, the plaintiffs appealed the lower court’s judgement to the United States Court of Appeals for the Fifth Circuit, Case No. 23-50112. The parties filed their respective appellate briefs, but the court has not ruled on these submissions. Management believes the risk of material loss related to both matters to be remote.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until a subsequent settlement was reached as described below, The Kellogg Company.</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1:11-cv-8808, for trial. The Egg Products Plaintiffs alleged that the Company and other defendants violated Section 1 of the Sherman Act, 15. U.S.C. § 1, by agreeing to limit the production of eggs and thereby illegally to raise the prices that plaintiffs paid for processed egg products. In particular, the Egg Products Plaintiffs attacked certain features of the United Egg Producers animal-welfare guidelines and program used by the Company and many other egg producers.</w:t>
      </w:r>
    </w:p>
    <w:p>
      <w:pPr>
        <w:spacing w:after="0" w:line="186"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trial of this case began on October 17, 2023. On December 1, 2023, the jury returned a decision awarding the Egg Products Plaintiffs $17.8 million in damages. If the jury’s decision is ultimately upheld, the defendants would be jointly and severally liable for treble damages, or $53.3 million, subject to credit for the Kellogg settlement described above and certain other settlements with previous settling defendants, plus the Egg Product Plaintiffs’ reasonable attorneys’ fees. This decision is not final and remains subject to the defendants’ motion for a directed verdict noted below and appeals by the parties. During our second fiscal quarter of 2024, we recorded an accrued expense of $ 19.6 million in selling, general and administrative expenses in the Company’s Condensed Consolidated Statements of Income and classified as other noncurrent liabilities in the Company’s Condensed Consolidated Balance Sheets. The accrual represents our estimate of the Company’s proportional share of the reasonably possible ultimate damages award, excluding the Egg Product Plaintiffs’ attorneys’ fees that we believe would be approximately offset by the credits noted above. We and the other defendants are discussing apportionment, and our accrual may change in the future based on the outcome of those discussions. Our accrual may also be revised in whole or in part in the future to the extent we are successful in further proceedings in the litigation. On November 29, 2023, the defendants, including the Company, filed a motion for judgment as a matter of law in their favor, known as a directed verdict, notwithstanding the jury’s decision. The Company intends to continue to vigorously defend the claims asserted by the Egg Products Plaintiffs.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0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 purchased 100% of the membership interests of Benton County Foods, LLC, which is an ongoing commercial shell egg operation within the Illinois River Watershed. Benton County Foods, LLC is not a defendant in the litigation. We also have a number of small contract producers that operate in the area.</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80"/>
          </w:cols>
          <w:pgMar w:left="1320" w:top="311" w:right="1299" w:bottom="1440"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liable for state law nuisance, federal common law nuisance, and state law trespass. The court also found the producers vicariously liable for the actions of their contract producers. The court directed the parties to confer in attempt to reach agreement on appropriate remedies. On June 12, 2023, the court ordered the parties to mediate before the retired Tenth Circuit Chief Judge Deanell Reece Tacha. On October 26, 2023, the parties filed separate status reports informing the court that the mediation was unsuccessful. Also on October 26, 2023, the defendants filed a post-trial motion to dismiss and supporting brief arguing that the case should be dismissed due to the state record before the court, the resulting mootness of the case, and violation of due process. On November 10, 2023, the State of Oklahoma filed its response in opposition to the motion to dismiss and on November 17, 2023, the defendants filed their reply. The court has not ruled on the motion. While management believes there is a reasonable possibility of a material loss from the case, at the present time, it is not possible to estimate the amount of monetary exposure, if any, to the Company due to a range of factors, including the following, among others: uncertainties inherent in any assessment of potential costs associated with injunctive relief or other penalties based on a decision in a case tried over 13 years ago based on environmental conditions that existed at the time, the lack of guidance from the court as to what might be considered appropriate remedies, the ongoing litigation with the State of Oklahoma and motion to dismiss before the court, and uncertainty regarding what our proportionate share of any remedy would be, although we believe that our share compared to the other defendants is small.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December 12, 2023, the Company reported that one of the Company’s facilities in Kansas experienced an outbreak of highly pathogenic avian influenza (“HPAI”), affecting approximately 684,000 laying hens. Subsequent to the initial outbreak, nearby facilities in Kansas experienced an outbreak of HPAI, affecting approximately an additional 842,000 laying hens and 240,000 pullets. The total of the combined outbreaks represented 3.3% of our total flock as of December 2, 2023.</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and continues to follow all guidelines provided by the United States Department of Agriculture (the “USDA”) and other regulatory agencies to depopulate and sanitize the facilities. As such, Cal-Maine will be eligible to participate in the USDA indemnity program and other programs designed to compensate for the loss of birds and eggs. The Company’s plans are to repopulate the facilities and resume normal operations at the facilities within 3-5 months . Due to volatility in the market prices of eggs and uncertain future supply, demand and other market conditions, an estimate of the net income effect cannot be reasonably made.</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60"/>
          </w:cols>
          <w:pgMar w:left="1320" w:top="311" w:right="131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June 3, 2023 (the “2023 Annual Report”), and the accompanying financial statements and notes included in Part II Item 8 of the 2023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This report contains numerous forward-looking statements within the meaning of Section 27A of the Securities Act of 1933 (the “Securities Act”) and Section 21E of the Securities Exchange Act of 1934 (the “Exchange Act”) relating to our shell egg and egg products business, including estimated future production data, expected construction schedules, projected construction costs, potential future supply of and demand for our products, potential future corn and soybean price trends, potential future impact on our business of the recent resurgence in United States (“U.S.”) commercial table egg layer flocks of the highly pathogenic avian influenza (“HPAI”) outbreak, potential future impact on our business of inflation and rising interest rates, potential future impact on our business of new legislation, rules or policies, potential outcomes of legal proceedings , including loss contingency accruals and factors that may result in changes in the amounts recorded,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of the 2023 Annual Report, the risk factors (if any) set forth in Part II Item 1A Risk Factors and elsewhere in this report as well as those included in other reports we file from time to time with the Securities and Exchange Commission (the “SEC”) (including our Quarterly Reports on Form 10-Q and Current Reports on Form 8-K), (ii) the risks and hazards inherent in the shell egg business (including disease, pests, weather conditions, and potential for product recall), including but not limited to the current outbreak of HPAI affecting poultry in the U.S., Canada and other countries that was first detected in commercial flocks in the U.S. in February 2022 and that first impacted our flock in December 2023, (iii) changes in the demand for and market prices of shell eggs and feed costs, (iv) our ability to predict and meet demand for cage-free and other specialty eggs, (v) risks, changes, or obligations that could result from our future acquisition of new flocks or businesses and risks or changes that may cause conditions to completing a pending acquisition not to be met, (vi) risks relating to increased costs and higher and potentially further increases in, inflation and interest rates, (vii) our ability to retain existing customers, acquire new customers and grow our product mix, (viii) adverse results in pending litigation matters, (ix) global instability, including as a result of the wars in Ukraine and Israel and attacks on shipping in the Red Sea, and (x) any potential resurgence of COVID-19.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Cal-Maine Foods, Inc. (the “Company,” “we,” “us,” “our”) is primarily engaged in the production, grading, packaging, marketing and distribution of fresh shell eggs. Our operations are fully integrated and we have one operating and reportable segment. We are the largest producer and distributor of fresh shell eggs in the U.S. Our total flock of approximately 43.3 million layers and 10.6 million pullets and breeders is the largest in the U.S. We sell most of our shell eggs to a diverse group of customers, including national and regional grocery store chains, club stores, companies servicing independent supermarkets in the U.S., food service distributors, and egg product consumers located primarily in states across the southwestern, southeastern, mid-western and mid-Atlantic regions of the U.S.</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 Although we use a variety of pricing mechanisms in pricing agreements with our customers, we sell most of our conventional shell eggs based on formulas that consider, in varying ways, independently quoted regional wholesale market prices for shell eggs or formulas related to our costs of production which include the cost of corn and soybean meal. We do not sell eggs directly to consumers or set the prices at which eggs are sold to consumers.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80"/>
          </w:cols>
          <w:pgMar w:left="1320" w:top="311" w:right="1299" w:bottom="1440" w:gutter="0" w:footer="0" w:header="0"/>
          <w:type w:val="continuous"/>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9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global instability that could disrupt the supply chain.</w:t>
      </w: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product mix of conventional and specialty eggs, including cage-free, organic and other specialty offerings, as well as egg products. We have also enhanced our efforts to provide free-range and pasture-raised eggs that meet consumers’ evolving choice preferences. While a small part of our current business, the free-range and pasture-raised eggs we produce and sell represent attractive offerings to a subset of consumers, and therefore our customers, and help us continue to serve as the trusted provider of quality food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21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California, Massachusetts, and Colorado, which collectively represent approximately 16% of the total estimated U.S. population, have cage-free legislation currently in effect. Oregon, Washington and Nevada have cage-free legislation going into effect starting January 1, 2024, which represents an additional 5% of the total estimated U.S. population. Although we do not sell the majority of our eggs in these ten states, these state laws have impacted egg production practices nationally.</w:t>
      </w:r>
    </w:p>
    <w:p>
      <w:pPr>
        <w:spacing w:after="0" w:line="18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A significant number of our customers have announced goals to either exclusively offer cage-free eggs or significantly increase the volume of cage-free egg sales in the future, subject in most cases to availability of supply, affordability and consumer demand, among other contingencies. Our customers typically do not commit to long-term purchases of specific quantities or types of eggs with us, and as a result, it is difficult to accurately predict customer requirements for cage-free eggs. We are focused on adjusting our cage-free production capacity with a goal of meeting the future needs of our customers in light of changing state requirements and our customer’s goals. As always, we strive to offer a product mix that aligns with current and anticipated customer purchase decisions. We are engaging with our customers to help them meet their announced goals and needs. We have invested significant capital in recent years to acquire and construct cage-free facilities, and we expect our focus for future expansion will continue to include cage-free facilities. Our volume of cage-free egg sales has continued to increase and account for a larger share of our product mix. Cage-free egg revenue represented approximately 30.4% of our total net shell egg revenue for the second quarter of fiscal year 2024. At the same time, we understand the importance of our continued ability to provide conventional eggs in order to provide our customers with a variety of egg choices and to address hunger in our communities.</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additional information, see the 2023 Annual Report, Part I Item 1, “Business – Specialty Eggs,” “Business – Growth Strategy” and “Business – Government Regulation,” and the first risk factor in Part I Item 1A, “Risk Factors” under the sub-heading “Legal and Regulatory Risk Factors.”</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300"/>
          </w:cols>
          <w:pgMar w:left="1320" w:top="311" w:right="1279" w:bottom="1440" w:gutter="0" w:footer="0" w:header="0"/>
          <w:type w:val="continuous"/>
        </w:sectPr>
      </w:pPr>
    </w:p>
    <w:bookmarkStart w:id="20" w:name="page21"/>
    <w:bookmarkEnd w:id="20"/>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1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 xml:space="preserve">During the second quarter of fiscal 2024, we acquired the assets of Fassio Egg Farms, Inc. (“Fassio”) related to its commercial shell egg production and processing business. The assets acquired included commercial shell egg production and processing facilities with a current capacity of approximately 1.2 million laying hens, primarily cage-free, a feed mill, pullets, a fertilizer production and composting operation and land located in Erda, Utah, outside Salt Lake City. See further discussion in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pacing w:after="0" w:line="17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Following the end of the second quarter, we announced a definitive agreement to acquire from Tyson Foods, Inc. a recently closed broiler processing plant, hatchery and feed mill located in Dexter, Missouri. We expect to complete the acquisition in our third fiscal quarter and to repurpose the assets for use in egg and egg products production.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21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Outbreaks of HPAI continue to occur in U.S. poultry flocks. Prior to November 2023, there were no reported significant outbreaks of HPAI in commercial table egg layer flocks since December 2022. On January 3, 2024, the USDA division of Animal and Plant Health Inspection Service (“APHIS”) reported that approximately 12.9 million commercial table egg layers and 1.5 million commercial table egg pullets have been depopulated as a result of HPAI outbreaks since the beginning of November 2023.</w:t>
      </w:r>
    </w:p>
    <w:p>
      <w:pPr>
        <w:spacing w:after="0" w:line="17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Cal-Maine Foods experienced HPAI outbreaks within our facilities in Kansas, resulting in depopulation of approximately 1.5 million layers and 240 thousand pullets, or approximately 3.3% of our total flock as of December 2, 2023, subsequent to period-end. Cal-Maine Foods believes that we can mitigate the loss of production through flock rotations. Cal-Maine Foods remains dedicated to robust biosecurity programs across our locations; however, no farm is immune from HPAI. HPAI is still present in the wild bird population and the extent of possible future outbreaks, particularly during the migration seasons, cannot be predicted. According to the U.S. Centers for Disease Control and Prevention, these detections do not present an immediate public health concern. For additional information, see the 2023 Annual Report, Part II Item 7 “Management’s Discussion and Analysis of Financial Condition and Results of Operations – HPAI.”</w:t>
      </w:r>
    </w:p>
    <w:p>
      <w:pPr>
        <w:spacing w:after="0" w:line="18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believe the HPAI outbreak will continue to impact the overall supply of eggs until the layer hen flock is fully replenished. The layer hen flock five-year average for the month of December from 2018 through 2022 is 330.1 million hens. According to the USDA, the U.S. flock consisted of 321.6 million layers producing table or market type eggs as of December 1, 2023, which is 2.6% below the five-year average.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8"/>
          <w:szCs w:val="18"/>
          <w:color w:val="auto"/>
        </w:rPr>
        <w:t>For the second quarter and first two quarters of fiscal 2024, we recorded a gross profit of $91.1 million and $136.6 million, respectively, compared to $317.8 million and $535.3 million, respectively, for the same periods of fiscal 2023, with the decreases due primarily to lower conventional shell egg prices. The decrease in gross profit was partially offset by lower feed ingredient prices in the second quarter and first two quarters of fiscal 2024 compared to the same periods of fiscal 2023. Our operating income and net income for the second quarter of fiscal 2024 were impacted by a $19.6 million litigation loss contingency accrual for pending anti-trust litigation, reflected in selling, general and administrative expenses in the Company’s Condensed Consolidated Statements of Income and classified as accrued expenses and other liabilities in the Company’s Condensed Consolidated Balance Sheets.</w:t>
      </w:r>
    </w:p>
    <w:p>
      <w:pPr>
        <w:spacing w:after="0" w:line="1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net average selling price per dozen for the second quarter of fiscal 2024 was $1.730 compared to $2.709 in the prior-year period. Conventional egg prices per dozen were $1.458 compared to $2.883 for the prior-year period, and specialty egg prices per dozen were $2.277 compared to $2.370 for the prior-year period. Conventional egg prices were lower in the second quarter of fiscal 2024 compared to the prior-year period as the U.S. egg supply started to recover from outbreaks of HPAI. There has been a resurgence of HPAI starting in November 2023, and although prices rose in November 2023 they remained lower than comparable 2022 prices. Our net average selling price per dozen for the first two quarters of fiscal 2024 was $1.661 compared to $2.469 in the prior-year period. Conventional egg prices per dozen were $1.353 compared to $2.631 for the prior-year period, and specialty egg prices per dozen were $2.277 compared to $2.236 for the prior-year period. The daily average price for the Urner Barry southeast large index for the second quarter of fiscal 2024 and first two quarters of fiscal 2024 decreased 49.6% and 49.2%, respectively, from the comparable periods in the prior year. For information about historical shell egg prices, see Part I Item I of our 2023 Annual Report.</w:t>
      </w:r>
    </w:p>
    <w:p>
      <w:pPr>
        <w:spacing w:after="0" w:line="18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total dozens sold increased 1.4% to 288.2 million dozen shell eggs for the second quarter of fiscal 2024 compared to 284.1 million dozen for the same period of fiscal 2023. For the year-to-date period, total dozens sold increased slightly from 559.4 million dozen to 561.3 million dozen. For the second quarter of fiscal 2024, conventional dozens sold increased 2.4% and</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300"/>
          </w:cols>
          <w:pgMar w:left="1320" w:top="311" w:right="1279" w:bottom="1440" w:gutter="0" w:footer="0" w:header="0"/>
          <w:type w:val="continuous"/>
        </w:sectPr>
      </w:pPr>
    </w:p>
    <w:bookmarkStart w:id="21" w:name="page22"/>
    <w:bookmarkEnd w:id="21"/>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specialty dozens sold decreased 0.4% as compared to the same quarter in fiscal 2023. Demand for specialty eggs decreased in the second quarter of fiscal 2024 compared to the same prior year period due primarily to the large decrease in prices for conventional eggs compared to the same prior year period. For the year-to-date period, conventional dozens sold increased 1.7% and specialty dozens sold decreased 2.3% compared to the prior year period.</w:t>
      </w:r>
    </w:p>
    <w:p>
      <w:pPr>
        <w:spacing w:after="0" w:line="17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Our farm production costs per dozen produced for the second quarter and first two quarters of fiscal 2024 decreased 8.0%, or $0.86, and 4.6%, or $0.05, respectively, compared to the prior year periods, primarily due to lower feed costs. Feed costs per dozen produced decreased 19.1%, or $0.13, compared to the second quarter of fiscal 2023 primarily due to reduced corn prices, our primary feed ingredient. For information about historical corn and soybean meal prices, see Part I Item I of our 2023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12"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Income expressed as a percentage of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Twenty-six Weeks Ended</w:t>
            </w:r>
          </w:p>
        </w:tc>
        <w:tc>
          <w:tcPr>
            <w:tcW w:w="220" w:type="dxa"/>
            <w:vAlign w:val="bottom"/>
            <w:tcBorders>
              <w:bottom w:val="single" w:sz="8" w:color="auto"/>
            </w:tcBorders>
          </w:tcPr>
          <w:p>
            <w:pPr>
              <w:spacing w:after="0"/>
              <w:rPr>
                <w:sz w:val="17"/>
                <w:szCs w:val="17"/>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80" w:type="dxa"/>
            <w:vAlign w:val="bottom"/>
            <w:gridSpan w:val="2"/>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November 26, 2022</w:t>
            </w:r>
          </w:p>
        </w:tc>
        <w:tc>
          <w:tcPr>
            <w:tcW w:w="40" w:type="dxa"/>
            <w:vAlign w:val="bottom"/>
            <w:gridSpan w:val="2"/>
          </w:tcPr>
          <w:p>
            <w:pPr>
              <w:spacing w:after="0"/>
              <w:rPr>
                <w:sz w:val="19"/>
                <w:szCs w:val="19"/>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2, 2023</w:t>
            </w:r>
          </w:p>
        </w:tc>
        <w:tc>
          <w:tcPr>
            <w:tcW w:w="80" w:type="dxa"/>
            <w:vAlign w:val="bottom"/>
            <w:gridSpan w:val="2"/>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November 26, 2022</w:t>
            </w:r>
          </w:p>
        </w:tc>
      </w:tr>
      <w:tr>
        <w:trPr>
          <w:trHeight w:val="223"/>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16"/>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203"/>
        </w:trPr>
        <w:tc>
          <w:tcPr>
            <w:tcW w:w="32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39.6</w:t>
            </w:r>
          </w:p>
        </w:tc>
        <w:tc>
          <w:tcPr>
            <w:tcW w:w="2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2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2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203"/>
        </w:trPr>
        <w:tc>
          <w:tcPr>
            <w:tcW w:w="32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2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2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6"/>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1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20"/>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Foods, Inc.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Total net sales for the second quarter of fiscal 2024 were $523.2 million compared to $801.7 million for the same period of fiscal 2023.</w:t>
      </w:r>
    </w:p>
    <w:p>
      <w:pPr>
        <w:spacing w:after="0" w:line="17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shell egg sales represented 96.2% and 96.5% of total net sales for the second quarters of fiscal 2024 and 2023, respectively. Shell egg sales classified as “Other” represent sales of miscellaneous byproducts and resale products included with our shell egg operations.</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Total net sales for the twenty-six weeks ended December 2, 2023 were $982.6 million, compared to $1.46 billion for the comparable period of fiscal 2023.</w:t>
      </w:r>
    </w:p>
    <w:p>
      <w:pPr>
        <w:spacing w:after="0" w:line="15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Net shell egg sales represented 95.7% and 96.2% of total net sales for the twenty-six weeks ended December 2, 2023 and November 26, 2022, respectively.</w:t>
      </w:r>
    </w:p>
    <w:p>
      <w:pPr>
        <w:sectPr>
          <w:pgSz w:w="11900" w:h="16838" w:orient="portrait"/>
          <w:cols w:equalWidth="0" w:num="1">
            <w:col w:w="9320"/>
          </w:cols>
          <w:pgMar w:left="1320" w:top="31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320"/>
          </w:cols>
          <w:pgMar w:left="1320" w:top="311" w:right="125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conventional and specialty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color w:val="auto"/>
                <w:w w:val="96"/>
              </w:rPr>
              <w:t>Thirteen Weeks Ended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Twenty-six Weeks Ended</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2, 2023</w:t>
            </w: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November 26, 2022</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December 2, 2023</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November 26, 2022</w:t>
            </w: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523,234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801,700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982,578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1,460,044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280,599</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541,917</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505,879</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967,506</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Pr>
          <w:p>
            <w:pPr>
              <w:spacing w:after="0"/>
              <w:rPr>
                <w:sz w:val="19"/>
                <w:szCs w:val="19"/>
                <w:color w:val="auto"/>
              </w:rPr>
            </w:pPr>
          </w:p>
        </w:tc>
      </w:tr>
      <w:tr>
        <w:trPr>
          <w:trHeight w:val="22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217,905</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227,778</w:t>
            </w:r>
          </w:p>
        </w:tc>
        <w:tc>
          <w:tcPr>
            <w:tcW w:w="4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426,586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428,598</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1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sales, net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498,504</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769,695</w:t>
            </w: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932,465</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1,396,104</w:t>
            </w:r>
          </w:p>
        </w:tc>
        <w:tc>
          <w:tcPr>
            <w:tcW w:w="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Pr>
          <w:p>
            <w:pPr>
              <w:spacing w:after="0"/>
              <w:rPr>
                <w:sz w:val="18"/>
                <w:szCs w:val="18"/>
                <w:color w:val="auto"/>
              </w:rPr>
            </w:pPr>
          </w:p>
        </w:tc>
      </w:tr>
      <w:tr>
        <w:trPr>
          <w:trHeight w:val="22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4,718</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3,953</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8,248</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503,222</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773,648</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940,343</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1,404,352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 as a</w:t>
            </w:r>
          </w:p>
        </w:tc>
        <w:tc>
          <w:tcPr>
            <w:tcW w:w="1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percent of total net sales</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96.2</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96.5</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95.7</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96.2</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192,462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187,976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373,992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367,688</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95,711</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96,110</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187,307</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191,715</w:t>
            </w: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20" w:type="dxa"/>
            <w:vAlign w:val="bottom"/>
          </w:tcPr>
          <w:p>
            <w:pPr>
              <w:spacing w:after="0"/>
              <w:rPr>
                <w:sz w:val="18"/>
                <w:szCs w:val="18"/>
                <w:color w:val="auto"/>
              </w:rPr>
            </w:pPr>
          </w:p>
        </w:tc>
      </w:tr>
      <w:tr>
        <w:trPr>
          <w:trHeight w:val="26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dozens sold</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288,173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284,086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561,299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559,403</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183"/>
        </w:trPr>
        <w:tc>
          <w:tcPr>
            <w:tcW w:w="19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dozen: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2.883</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2.631</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2.236</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shell eggs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 sales:</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 net sales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42,235</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55,692</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Pounds sold</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36,351</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32,204</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pound</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16" w:lineRule="exact"/>
        <w:rPr>
          <w:sz w:val="20"/>
          <w:szCs w:val="20"/>
          <w:color w:val="auto"/>
        </w:rPr>
      </w:pPr>
    </w:p>
    <w:p>
      <w:pPr>
        <w:jc w:val="both"/>
        <w:ind w:left="660" w:hanging="329"/>
        <w:spacing w:after="0" w:line="24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2024, conventional egg sales decreased $261.3 million, or 48.2%, compared to the second quarter of fiscal 2023, primarily due to a 49.4% decrease in the prices for conventional eggs, which resulted in a $274.3 million decrease in net sales, partially offset by a 2.4% increase in the volume of conventional eggs sold, which resulted in a $12.9 million increase in net sales.</w:t>
      </w:r>
    </w:p>
    <w:p>
      <w:pPr>
        <w:spacing w:after="0" w:line="140" w:lineRule="exact"/>
        <w:rPr>
          <w:rFonts w:ascii="Times New Roman" w:cs="Times New Roman" w:eastAsia="Times New Roman" w:hAnsi="Times New Roman"/>
          <w:sz w:val="18"/>
          <w:szCs w:val="18"/>
          <w:color w:val="auto"/>
        </w:rPr>
      </w:pPr>
    </w:p>
    <w:p>
      <w:pPr>
        <w:jc w:val="both"/>
        <w:ind w:left="660" w:right="2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egg prices were lower in the second quarter of fiscal 2024 compared to the second quarter of fiscal 2023 as the U.S. egg supply started to recover from outbreaks of HPAI. There has been a resurgence of HPAI starting in November 2023, and although prices rose in November 2023, they remained lower than comparable 2022 prices.</w:t>
      </w:r>
    </w:p>
    <w:p>
      <w:pPr>
        <w:spacing w:after="0" w:line="136" w:lineRule="exact"/>
        <w:rPr>
          <w:rFonts w:ascii="Times New Roman" w:cs="Times New Roman" w:eastAsia="Times New Roman" w:hAnsi="Times New Roman"/>
          <w:sz w:val="18"/>
          <w:szCs w:val="18"/>
          <w:color w:val="auto"/>
        </w:rPr>
      </w:pPr>
    </w:p>
    <w:p>
      <w:pPr>
        <w:ind w:left="66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decreased $9.9 million, or 4.3%, in the second quarter of fiscal 2024 compared to the second quarter of fiscal 2023, primarily due to a 3.9% decrease in the prices for specialty eggs, which resulted in a $9.3 million decrease in net sales.</w:t>
      </w:r>
    </w:p>
    <w:p>
      <w:pPr>
        <w:spacing w:after="0" w:line="128" w:lineRule="exact"/>
        <w:rPr>
          <w:rFonts w:ascii="Times New Roman" w:cs="Times New Roman" w:eastAsia="Times New Roman" w:hAnsi="Times New Roman"/>
          <w:sz w:val="18"/>
          <w:szCs w:val="18"/>
          <w:color w:val="auto"/>
        </w:rPr>
      </w:pPr>
    </w:p>
    <w:p>
      <w:pPr>
        <w:jc w:val="both"/>
        <w:ind w:left="660" w:right="2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Cage-free egg revenue for the second quarter of fiscal 2024 represented 30.4% of our total net shell egg revenue versus 18.2% for the same prior year period due to the lower conventional egg prices causing conventional egg revenue to represent a smaller proportion of our total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2024 vs. Fiscal 2023</w:t>
      </w:r>
    </w:p>
    <w:p>
      <w:pPr>
        <w:spacing w:after="0" w:line="16" w:lineRule="exact"/>
        <w:rPr>
          <w:sz w:val="20"/>
          <w:szCs w:val="20"/>
          <w:color w:val="auto"/>
        </w:rPr>
      </w:pPr>
    </w:p>
    <w:p>
      <w:pPr>
        <w:ind w:left="660" w:hanging="329"/>
        <w:spacing w:after="0" w:line="24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twenty-six weeks ended December 2, 2023, conventional egg sales decreased $461.6 million, or 47.7%, compared to the same period of fiscal 2023, primarily due to the decrease in the prices for conventional shell eggs. Changes in prices resulted in a $478.0 million decrease in net sales, partially offset by a 1.7% increase in the volume of conventional eggs sold, which resulted in a $16.6 million increase in net sales.</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311" w:right="131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net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16" w:lineRule="exact"/>
        <w:rPr>
          <w:sz w:val="20"/>
          <w:szCs w:val="20"/>
          <w:color w:val="auto"/>
        </w:rPr>
      </w:pPr>
    </w:p>
    <w:p>
      <w:pPr>
        <w:jc w:val="both"/>
        <w:ind w:left="660" w:right="80" w:hanging="329"/>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net sales decreased $8.0 million, or 28.7%, for the second quarter of fiscal 2024 compared to the same period of fiscal 2023, primarily due to a 34.1% selling price decrease, which had a $10.4 million negative impact on net sales.</w:t>
      </w:r>
    </w:p>
    <w:p>
      <w:pPr>
        <w:spacing w:after="0" w:line="119" w:lineRule="exact"/>
        <w:rPr>
          <w:rFonts w:ascii="Times New Roman" w:cs="Times New Roman" w:eastAsia="Times New Roman" w:hAnsi="Times New Roman"/>
          <w:sz w:val="18"/>
          <w:szCs w:val="18"/>
          <w:color w:val="auto"/>
        </w:rPr>
      </w:pPr>
    </w:p>
    <w:p>
      <w:pPr>
        <w:ind w:left="660" w:right="80" w:hanging="329"/>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egg products net average selling price decreased in the second quarter of fiscal 2024, compared to the second quarter of fiscal 2023 as the supply of shell eggs used to produce egg products increased.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2024 vs. Fiscal 2023</w:t>
      </w:r>
    </w:p>
    <w:p>
      <w:pPr>
        <w:spacing w:after="0" w:line="16" w:lineRule="exact"/>
        <w:rPr>
          <w:sz w:val="20"/>
          <w:szCs w:val="20"/>
          <w:color w:val="auto"/>
        </w:rPr>
      </w:pPr>
    </w:p>
    <w:p>
      <w:pPr>
        <w:ind w:left="660" w:right="40" w:hanging="329"/>
        <w:spacing w:after="0" w:line="24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net sales decreased $13.5 million, or 24.2%, primarily due to a 32.8% selling price decrease compared to the first twenty-six weeks of fiscal 2023, which had a $20.6 million negative impact on net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Costs of sales for the second quarter of fiscal 2024 were $432.1 million compared to $483.9 million for the same period of fiscal 2023. Costs of sales for the year-to-date period were $846.0 million compared to $924.7 million for the prior year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variables affecting our cost of sales (in thousands, except cost per dozen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Twenty-six Weeks Ended</w:t>
            </w: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0"/>
              <w:spacing w:after="0" w:line="192" w:lineRule="exact"/>
              <w:rPr>
                <w:sz w:val="20"/>
                <w:szCs w:val="20"/>
                <w:color w:val="auto"/>
              </w:rPr>
            </w:pPr>
            <w:r>
              <w:rPr>
                <w:rFonts w:ascii="Times New Roman" w:cs="Times New Roman" w:eastAsia="Times New Roman" w:hAnsi="Times New Roman"/>
                <w:sz w:val="18"/>
                <w:szCs w:val="18"/>
                <w:color w:val="auto"/>
              </w:rPr>
              <w:t>December 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rPr>
              <w:t>November 26,</w:t>
            </w:r>
          </w:p>
        </w:tc>
        <w:tc>
          <w:tcPr>
            <w:tcW w:w="580" w:type="dxa"/>
            <w:vAlign w:val="bottom"/>
            <w:gridSpan w:val="2"/>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0"/>
              <w:spacing w:after="0" w:line="192" w:lineRule="exact"/>
              <w:rPr>
                <w:sz w:val="20"/>
                <w:szCs w:val="20"/>
                <w:color w:val="auto"/>
              </w:rPr>
            </w:pPr>
            <w:r>
              <w:rPr>
                <w:rFonts w:ascii="Times New Roman" w:cs="Times New Roman" w:eastAsia="Times New Roman" w:hAnsi="Times New Roman"/>
                <w:sz w:val="18"/>
                <w:szCs w:val="18"/>
                <w:color w:val="auto"/>
                <w:w w:val="99"/>
              </w:rPr>
              <w:t>December 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90"/>
              <w:spacing w:after="0" w:line="192" w:lineRule="exact"/>
              <w:rPr>
                <w:sz w:val="20"/>
                <w:szCs w:val="20"/>
                <w:color w:val="auto"/>
              </w:rPr>
            </w:pPr>
            <w:r>
              <w:rPr>
                <w:rFonts w:ascii="Times New Roman" w:cs="Times New Roman" w:eastAsia="Times New Roman" w:hAnsi="Times New Roman"/>
                <w:sz w:val="18"/>
                <w:szCs w:val="18"/>
                <w:color w:val="auto"/>
                <w:w w:val="99"/>
              </w:rPr>
              <w:t>November 26,</w:t>
            </w:r>
          </w:p>
        </w:tc>
        <w:tc>
          <w:tcPr>
            <w:tcW w:w="620" w:type="dxa"/>
            <w:vAlign w:val="bottom"/>
            <w:gridSpan w:val="2"/>
          </w:tcPr>
          <w:p>
            <w:pPr>
              <w:jc w:val="right"/>
              <w:ind w:right="5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c>
          <w:tcPr>
            <w:tcW w:w="980" w:type="dxa"/>
            <w:vAlign w:val="bottom"/>
            <w:gridSpan w:val="5"/>
          </w:tcPr>
          <w:p>
            <w:pPr>
              <w:jc w:val="right"/>
              <w:ind w:right="256"/>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Farm production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511,874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542,659</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Processing, packaging, and</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warehouse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165,056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2"/>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purchases and other</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change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166,271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80" w:type="dxa"/>
            <w:vAlign w:val="bottom"/>
            <w:tcBorders>
              <w:top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shell eggs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414,788</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457,620</w:t>
            </w: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810,998</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873,986</w:t>
            </w:r>
          </w:p>
        </w:tc>
        <w:tc>
          <w:tcPr>
            <w:tcW w:w="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50,719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432,104</w:t>
            </w:r>
          </w:p>
        </w:tc>
        <w:tc>
          <w:tcPr>
            <w:tcW w:w="40" w:type="dxa"/>
            <w:vAlign w:val="bottom"/>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483,851</w:t>
            </w:r>
          </w:p>
        </w:tc>
        <w:tc>
          <w:tcPr>
            <w:tcW w:w="40" w:type="dxa"/>
            <w:vAlign w:val="bottom"/>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(10.7)</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846,015</w:t>
            </w:r>
          </w:p>
        </w:tc>
        <w:tc>
          <w:tcPr>
            <w:tcW w:w="40" w:type="dxa"/>
            <w:vAlign w:val="bottom"/>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924,705</w:t>
            </w:r>
          </w:p>
        </w:tc>
        <w:tc>
          <w:tcPr>
            <w:tcW w:w="40" w:type="dxa"/>
            <w:vAlign w:val="bottom"/>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20"/>
                <w:szCs w:val="20"/>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Farm production costs (per</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dozen produced)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0.676</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(14.9) %</w:t>
            </w:r>
          </w:p>
        </w:tc>
      </w:tr>
      <w:tr>
        <w:trPr>
          <w:trHeight w:val="23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0.386</w:t>
            </w: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0.435</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0.383</w:t>
            </w: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9"/>
                <w:szCs w:val="19"/>
                <w:color w:val="auto"/>
              </w:rPr>
            </w:pPr>
          </w:p>
        </w:tc>
      </w:tr>
      <w:tr>
        <w:trPr>
          <w:trHeight w:val="256"/>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r>
      <w:tr>
        <w:trPr>
          <w:trHeight w:val="203"/>
        </w:trPr>
        <w:tc>
          <w:tcPr>
            <w:tcW w:w="2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Outside egg purchases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cost per dozen)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(36.1) %</w:t>
            </w:r>
          </w:p>
        </w:tc>
      </w:tr>
      <w:tr>
        <w:trPr>
          <w:trHeight w:val="230"/>
        </w:trPr>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265,101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515,457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519,012</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 produced to sold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Farm Production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27" w:lineRule="exact"/>
        <w:rPr>
          <w:sz w:val="20"/>
          <w:szCs w:val="20"/>
          <w:color w:val="auto"/>
        </w:rPr>
      </w:pPr>
    </w:p>
    <w:p>
      <w:pPr>
        <w:jc w:val="both"/>
        <w:ind w:left="660" w:hanging="329"/>
        <w:spacing w:after="0" w:line="24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19.1% in the second quarter of fiscal 2024 compared to the second quarter of fiscal 2023. This decrease was primarily due to lower prices for corn, our primary feed ingredient. Basis levels for corn and soybean meal were lower in our areas of operations compared to our prior year second fiscal quarter. The decrease in feed cost per dozen resulted in a decrease in cost of sales of $34.7 million for the second quarter of fiscal 2024 compared to the prior period quarter.</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80"/>
          </w:cols>
          <w:pgMar w:left="1320" w:top="311" w:right="1299" w:bottom="1440" w:gutter="0" w:footer="0" w:header="0"/>
          <w:type w:val="continuous"/>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660" w:right="60" w:hanging="329"/>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quarter of fiscal 2024, the average Chiago Board of Trade (“CBOT”) daily market price was $4.79 per bushel for corn and $417 per ton of soybean meal, representing decreases of 29.3% and 1.6%, respectively, as compared to the average CBOT daily market prices for the second quarter of fiscal 2023.</w:t>
      </w:r>
    </w:p>
    <w:p>
      <w:pPr>
        <w:spacing w:after="0" w:line="128" w:lineRule="exact"/>
        <w:rPr>
          <w:rFonts w:ascii="Times New Roman" w:cs="Times New Roman" w:eastAsia="Times New Roman" w:hAnsi="Times New Roman"/>
          <w:sz w:val="18"/>
          <w:szCs w:val="18"/>
          <w:color w:val="auto"/>
        </w:rPr>
      </w:pPr>
    </w:p>
    <w:p>
      <w:pPr>
        <w:jc w:val="both"/>
        <w:ind w:left="660" w:right="60" w:hanging="329"/>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increased primarily due to higher flock amortization and facility costs. Flock amortization increased primarily due to the increased capitalized value of our flocks. This is primarily due to the higher feed costs incurred during the growing phase of the flocks.</w:t>
      </w:r>
    </w:p>
    <w:p>
      <w:pPr>
        <w:spacing w:after="0" w:line="169" w:lineRule="exact"/>
        <w:rPr>
          <w:rFonts w:ascii="Times New Roman" w:cs="Times New Roman" w:eastAsia="Times New Roman" w:hAnsi="Times New Roman"/>
          <w:sz w:val="18"/>
          <w:szCs w:val="18"/>
          <w:color w:val="auto"/>
        </w:rPr>
      </w:pPr>
    </w:p>
    <w:p>
      <w:pPr>
        <w:ind w:left="660" w:right="20" w:hanging="329"/>
        <w:spacing w:after="0" w:line="26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increased due primarily to increased labor costs. Labor costs increased 12.5% compared to the second quarter of fiscal 2023 primarily due to an increase in contract labor in response to labor shortages.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2024 vs. Fiscal 2023</w:t>
      </w:r>
    </w:p>
    <w:p>
      <w:pPr>
        <w:spacing w:after="0" w:line="16" w:lineRule="exact"/>
        <w:rPr>
          <w:sz w:val="20"/>
          <w:szCs w:val="20"/>
          <w:color w:val="auto"/>
        </w:rPr>
      </w:pPr>
    </w:p>
    <w:p>
      <w:pPr>
        <w:jc w:val="both"/>
        <w:ind w:left="660" w:hanging="329"/>
        <w:spacing w:after="0" w:line="24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14.9% in the twenty-six weeks ended December 2, 2023 compared to the same period of fiscal 2023, primarily due to lower feed ingredient prices. The decrease in feed cost per dozen resulted in a decrease in cost of sales of $52.1 million compared to the prior year period.</w:t>
      </w:r>
    </w:p>
    <w:p>
      <w:pPr>
        <w:spacing w:after="0" w:line="180" w:lineRule="exact"/>
        <w:rPr>
          <w:rFonts w:ascii="Times New Roman" w:cs="Times New Roman" w:eastAsia="Times New Roman" w:hAnsi="Times New Roman"/>
          <w:sz w:val="18"/>
          <w:szCs w:val="18"/>
          <w:color w:val="auto"/>
        </w:rPr>
      </w:pPr>
    </w:p>
    <w:p>
      <w:pPr>
        <w:jc w:val="both"/>
        <w:ind w:left="660" w:right="40" w:hanging="329"/>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year-to-date period, the average CBOT daily market price was $5.05 per bushel for corn and $420 per ton for soybean meal, representing decreases of 24.8% and 4.6%, respectively, compared to the average CBOT daily market prices for the comparable period in the prior year.</w:t>
      </w:r>
    </w:p>
    <w:p>
      <w:pPr>
        <w:spacing w:after="0" w:line="136" w:lineRule="exact"/>
        <w:rPr>
          <w:rFonts w:ascii="Times New Roman" w:cs="Times New Roman" w:eastAsia="Times New Roman" w:hAnsi="Times New Roman"/>
          <w:sz w:val="18"/>
          <w:szCs w:val="18"/>
          <w:color w:val="auto"/>
        </w:rPr>
      </w:pPr>
    </w:p>
    <w:p>
      <w:pPr>
        <w:ind w:left="660" w:right="40" w:hanging="329"/>
        <w:spacing w:after="0" w:line="26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increased due to higher facility costs and flock amortization, for the reasons described above.</w:t>
      </w:r>
    </w:p>
    <w:p>
      <w:pPr>
        <w:spacing w:after="0" w:line="16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Current indications for corn project an overall better stocks-to-use ratio implying potentially lower prices in the near term; however, as long as outside factors remain uncertain (including weather patterns and global supply chain disruptions), volatility could remain. Soybean meal supply has remained tight relative to demand in the first two quarters of fiscal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 packaging, and warehouse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16" w:lineRule="exact"/>
        <w:rPr>
          <w:sz w:val="20"/>
          <w:szCs w:val="20"/>
          <w:color w:val="auto"/>
        </w:rPr>
      </w:pPr>
    </w:p>
    <w:p>
      <w:pPr>
        <w:jc w:val="both"/>
        <w:ind w:left="660" w:right="60" w:hanging="329"/>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1.3% compared to the second quarter of fiscal 2023, primarily due to an increase in dozens processed in the second quarter of fiscal 2024 compared to the second quarter of fiscal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2024 vs. Fiscal 2023</w:t>
      </w:r>
    </w:p>
    <w:p>
      <w:pPr>
        <w:spacing w:after="0" w:line="16" w:lineRule="exact"/>
        <w:rPr>
          <w:sz w:val="20"/>
          <w:szCs w:val="20"/>
          <w:color w:val="auto"/>
        </w:rPr>
      </w:pPr>
    </w:p>
    <w:p>
      <w:pPr>
        <w:jc w:val="both"/>
        <w:ind w:left="660" w:right="40" w:hanging="329"/>
        <w:spacing w:after="0" w:line="24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1.0% compared to the first two quarters of fiscal 2023, primarily due an increase in labor costs of 4.2% due to wage increases in response to labor shortages, partially offset by decrease in dozens processed.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purchases and other (including change in inventory)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16" w:lineRule="exact"/>
        <w:rPr>
          <w:sz w:val="20"/>
          <w:szCs w:val="20"/>
          <w:color w:val="auto"/>
        </w:rPr>
      </w:pPr>
    </w:p>
    <w:p>
      <w:pPr>
        <w:ind w:left="660" w:right="80" w:hanging="329"/>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decreased primarily due to lower shell egg prices as the average cost per dozen of outside egg purchases decreased 35.4% compared to second quarter of fiscal 2023 .</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 – Fiscal 2024 vs. Fiscal 2023</w:t>
      </w:r>
    </w:p>
    <w:p>
      <w:pPr>
        <w:spacing w:after="0" w:line="27" w:lineRule="exact"/>
        <w:rPr>
          <w:sz w:val="20"/>
          <w:szCs w:val="20"/>
          <w:color w:val="auto"/>
        </w:rPr>
      </w:pPr>
    </w:p>
    <w:p>
      <w:pPr>
        <w:ind w:left="660" w:right="80" w:hanging="329"/>
        <w:spacing w:after="0" w:line="24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decreased primarily due to lower shell egg prices as the average cost per dozen of outside egg purchases decreased 36.1% compared to fiscal 2023, partially offset by an increase of 13.0% in dozens purchased.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Gross profit for the second quarter of fiscal 2024 was $91.1 million compared to $317.8 million for the same period of fiscal 2023. Gross profit for the twenty-six weeks ended December 2, 2023 was $136.6 million compared to $535.3 million for the same period of 2023. The decrease for both periods was primarily due to lower conventional egg prices, partially offset by lower feed ingredient prices.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80"/>
          </w:cols>
          <w:pgMar w:left="1320" w:top="311" w:right="129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(“SGA”) expenses include costs of marketing, distribution, accounting and corporate overhead. The following table presents an analysis of our SGA expenses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8"/>
                <w:szCs w:val="18"/>
                <w:color w:val="auto"/>
              </w:rPr>
              <w:t>Thirteen Weeks Ended</w:t>
            </w:r>
          </w:p>
        </w:tc>
        <w:tc>
          <w:tcPr>
            <w:tcW w:w="1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29"/>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 2023</w:t>
            </w: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November 26, 2022</w:t>
            </w:r>
          </w:p>
        </w:tc>
        <w:tc>
          <w:tcPr>
            <w:tcW w:w="120" w:type="dxa"/>
            <w:vAlign w:val="bottom"/>
          </w:tcPr>
          <w:p>
            <w:pPr>
              <w:spacing w:after="0"/>
              <w:rPr>
                <w:sz w:val="19"/>
                <w:szCs w:val="19"/>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80" w:type="dxa"/>
            <w:vAlign w:val="bottom"/>
          </w:tcPr>
          <w:p>
            <w:pPr>
              <w:spacing w:after="0"/>
              <w:rPr>
                <w:sz w:val="19"/>
                <w:szCs w:val="19"/>
                <w:color w:val="auto"/>
              </w:rPr>
            </w:pPr>
          </w:p>
        </w:tc>
      </w:tr>
      <w:tr>
        <w:trPr>
          <w:trHeight w:val="243"/>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egg expense</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11,076</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loss contingency accrual</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23"/>
                <w:szCs w:val="23"/>
                <w:color w:val="auto"/>
              </w:rPr>
            </w:pPr>
          </w:p>
        </w:tc>
      </w:tr>
      <w:tr>
        <w:trPr>
          <w:trHeight w:val="270"/>
        </w:trPr>
        <w:tc>
          <w:tcPr>
            <w:tcW w:w="2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76,578</w:t>
            </w: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57,952</w:t>
            </w: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18,626</w:t>
            </w: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 Fiscal 2024 vs. Fiscal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egg expense</w:t>
      </w:r>
    </w:p>
    <w:p>
      <w:pPr>
        <w:spacing w:after="0" w:line="27" w:lineRule="exact"/>
        <w:rPr>
          <w:sz w:val="20"/>
          <w:szCs w:val="20"/>
          <w:color w:val="auto"/>
        </w:rPr>
      </w:pPr>
    </w:p>
    <w:p>
      <w:pPr>
        <w:jc w:val="both"/>
        <w:ind w:left="660" w:right="20" w:hanging="329"/>
        <w:spacing w:after="0" w:line="24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part of fiscal year 2023, the higher prices for conventional eggs and the comparatively lower prices for specialty eggs diminished the need to promote specialty eggs. During the second quarter of fiscal year 2024, we significantly increased promotional programs, resulting in higher advertising fees. This was partially offset by a decrease in a reduction in franchise fees to Eggland’s Best,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16" w:lineRule="exact"/>
        <w:rPr>
          <w:sz w:val="20"/>
          <w:szCs w:val="20"/>
          <w:color w:val="auto"/>
        </w:rPr>
      </w:pPr>
    </w:p>
    <w:p>
      <w:pPr>
        <w:ind w:left="660" w:right="20" w:hanging="329"/>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decreased delivery expense is primarily due to a decrease in fuel and contract trucking expenses in the second quarter of fiscal 2024 compared to the second quarter of fiscal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Payroll, taxes and benefits expense</w:t>
      </w:r>
    </w:p>
    <w:p>
      <w:pPr>
        <w:spacing w:after="0" w:line="27" w:lineRule="exact"/>
        <w:rPr>
          <w:sz w:val="20"/>
          <w:szCs w:val="20"/>
          <w:color w:val="auto"/>
        </w:rPr>
      </w:pPr>
    </w:p>
    <w:p>
      <w:pPr>
        <w:ind w:left="660" w:hanging="329"/>
        <w:spacing w:after="0" w:line="24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payroll, taxes and benefits expense is due to a decrease in accrued bonuses compared to the second quarter of fiscal year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loss contingency accrual</w:t>
      </w:r>
    </w:p>
    <w:p>
      <w:pPr>
        <w:spacing w:after="0" w:line="27" w:lineRule="exact"/>
        <w:rPr>
          <w:sz w:val="20"/>
          <w:szCs w:val="20"/>
          <w:color w:val="auto"/>
        </w:rPr>
      </w:pPr>
    </w:p>
    <w:p>
      <w:pPr>
        <w:jc w:val="both"/>
        <w:ind w:left="660" w:right="20" w:hanging="329"/>
        <w:spacing w:after="0" w:line="24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litigation loss contingency accrual of $19.6 million relates to a jury decision returned on December 1, 2023 in pending anti-trust litigation. See further discussion in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w:t>
      </w:r>
    </w:p>
    <w:p>
      <w:pPr>
        <w:spacing w:after="0" w:line="27" w:lineRule="exact"/>
        <w:rPr>
          <w:sz w:val="20"/>
          <w:szCs w:val="20"/>
          <w:color w:val="auto"/>
        </w:rPr>
      </w:pPr>
    </w:p>
    <w:p>
      <w:pPr>
        <w:ind w:left="660" w:right="60" w:hanging="329"/>
        <w:spacing w:after="0" w:line="24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 is primarily due to increased legal costs incurred compared to the second quarter of fiscal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8"/>
                <w:szCs w:val="18"/>
                <w:color w:val="auto"/>
              </w:rPr>
              <w:t>Twenty-six Weeks Ended</w:t>
            </w:r>
          </w:p>
        </w:tc>
        <w:tc>
          <w:tcPr>
            <w:tcW w:w="1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10"/>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 2023</w:t>
            </w: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November 26, 2022</w:t>
            </w:r>
          </w:p>
        </w:tc>
        <w:tc>
          <w:tcPr>
            <w:tcW w:w="120" w:type="dxa"/>
            <w:vAlign w:val="bottom"/>
          </w:tcPr>
          <w:p>
            <w:pPr>
              <w:spacing w:after="0"/>
              <w:rPr>
                <w:sz w:val="18"/>
                <w:szCs w:val="18"/>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80" w:type="dxa"/>
            <w:vAlign w:val="bottom"/>
          </w:tcPr>
          <w:p>
            <w:pPr>
              <w:spacing w:after="0"/>
              <w:rPr>
                <w:sz w:val="18"/>
                <w:szCs w:val="18"/>
                <w:color w:val="auto"/>
              </w:rPr>
            </w:pPr>
          </w:p>
        </w:tc>
      </w:tr>
      <w:tr>
        <w:trPr>
          <w:trHeight w:val="264"/>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egg expense</w:t>
            </w: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27,929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27,740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35,397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38,091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23,142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24,814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loss contingency accrual</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23"/>
                <w:szCs w:val="23"/>
                <w:color w:val="auto"/>
              </w:rPr>
            </w:pPr>
          </w:p>
        </w:tc>
      </w:tr>
      <w:tr>
        <w:trPr>
          <w:trHeight w:val="270"/>
        </w:trPr>
        <w:tc>
          <w:tcPr>
            <w:tcW w:w="2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20,607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111,559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Twenty-six weeks – Fiscal 2024 vs. Fiscal 2023</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60"/>
          </w:cols>
          <w:pgMar w:left="1320" w:top="311" w:right="1319" w:bottom="1440" w:gutter="0" w:footer="0" w:header="0"/>
          <w:type w:val="continuous"/>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egg expense</w:t>
      </w:r>
    </w:p>
    <w:p>
      <w:pPr>
        <w:spacing w:after="0" w:line="27" w:lineRule="exact"/>
        <w:rPr>
          <w:sz w:val="20"/>
          <w:szCs w:val="20"/>
          <w:color w:val="auto"/>
        </w:rPr>
      </w:pPr>
    </w:p>
    <w:p>
      <w:pPr>
        <w:ind w:left="660" w:right="40" w:hanging="329"/>
        <w:spacing w:after="0" w:line="24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Specialty egg expense increased by 0.7%, </w:t>
      </w:r>
      <w:r>
        <w:rPr>
          <w:rFonts w:ascii="Times New Roman" w:cs="Times New Roman" w:eastAsia="Times New Roman" w:hAnsi="Times New Roman"/>
          <w:sz w:val="18"/>
          <w:szCs w:val="18"/>
          <w:color w:val="auto"/>
          <w:highlight w:val="white"/>
        </w:rPr>
        <w:t>as advertising expense increased in fiscal 2024 as discussed above and was</w:t>
      </w:r>
      <w:r>
        <w:rPr>
          <w:rFonts w:ascii="Times New Roman" w:cs="Times New Roman" w:eastAsia="Times New Roman" w:hAnsi="Times New Roman"/>
          <w:sz w:val="18"/>
          <w:szCs w:val="18"/>
          <w:color w:val="auto"/>
        </w:rPr>
        <w:t xml:space="preserve"> offset by the reduction in franchise fees to Eggland’s Best,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16" w:lineRule="exact"/>
        <w:rPr>
          <w:sz w:val="20"/>
          <w:szCs w:val="20"/>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decreased delivery expense is primarily due to a decrease in fuel and contract trucking expenses in fiscal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Payroll, taxes and benefits expense</w:t>
      </w:r>
    </w:p>
    <w:p>
      <w:pPr>
        <w:spacing w:after="0" w:line="27" w:lineRule="exact"/>
        <w:rPr>
          <w:sz w:val="20"/>
          <w:szCs w:val="20"/>
          <w:color w:val="auto"/>
        </w:rPr>
      </w:pPr>
    </w:p>
    <w:p>
      <w:pPr>
        <w:ind w:left="660" w:right="80" w:hanging="329"/>
        <w:spacing w:after="0" w:line="24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payroll, taxes and benefits expense is primarily due to a decrease in accrued bonuses in the first two quarters of fiscal 2024 compared to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loss contingency accrual</w:t>
      </w:r>
    </w:p>
    <w:p>
      <w:pPr>
        <w:spacing w:after="0" w:line="27" w:lineRule="exact"/>
        <w:rPr>
          <w:sz w:val="20"/>
          <w:szCs w:val="20"/>
          <w:color w:val="auto"/>
        </w:rPr>
      </w:pPr>
    </w:p>
    <w:p>
      <w:pPr>
        <w:ind w:left="660" w:hanging="32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relates to the litigation loss contingency accrual discussed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w:t>
      </w:r>
    </w:p>
    <w:p>
      <w:pPr>
        <w:spacing w:after="0" w:line="27" w:lineRule="exact"/>
        <w:rPr>
          <w:sz w:val="20"/>
          <w:szCs w:val="20"/>
          <w:color w:val="auto"/>
        </w:rPr>
      </w:pPr>
    </w:p>
    <w:p>
      <w:pPr>
        <w:ind w:left="660" w:hanging="32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 is primarily due to increased legal costs incurred in the year-to-date period.</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w:t>
      </w:r>
    </w:p>
    <w:p>
      <w:pPr>
        <w:spacing w:after="0" w:line="21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the second quarter of fiscal 2024, we recorded operating income of $14.2 million compared to operating income of $259.9 million for the same period of fiscal 2023.</w:t>
      </w:r>
    </w:p>
    <w:p>
      <w:pPr>
        <w:spacing w:after="0" w:line="16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the twenty-six weeks ended December 2, 2023, we recorded an operating income of $7.5 million compared to an operating income of $423.7 million for the same period of fiscal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2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royalty income, equity income or loss of unconsolidated entities, and patronage income, among other items.</w:t>
      </w:r>
    </w:p>
    <w:p>
      <w:pPr>
        <w:spacing w:after="0" w:line="150"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For the second quarter of fiscal 2024, we earned $7.1 million of interest income compared to $2.1 million for the same period of fiscal 2023. The increase resulted from significantly higher investment balances and higher interest rates. The Company recorded interest expense of $134 thousand and $143 thousand for the second quarters ended December 2, 2023 and November 26, 2022, respectively.</w:t>
      </w:r>
    </w:p>
    <w:p>
      <w:pPr>
        <w:spacing w:after="0" w:line="1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twenty-six weeks ended December 2, 2023, we earned $14.6 million of interest income compared to $3.1 million for the same period of fiscal 2023. The increase resulted from significantly higher investment balances and higher interest rates. The Company recorded interest expense of $276 thousand and $291 thousand for the twenty-six weeks ended December 2, 2023 and November 26,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1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For the second quarter of fiscal 2024, pre-tax income was $22.1 million compared to $262.2 million for the same period of fiscal 2023. We recorded income tax expense of $5.5 million for the second quarter of fiscal 2024, which reflects an effective tax rate of 25.0%. Income tax expense was $64.0 million for the comparable period of fiscal 2023, which reflects an effective tax rate of 24.4%.</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the federal statutory income tax rate due to state income taxes, certain federal tax credits and certain items included in income for financial reporting purposes that are not included in taxable income for income tax purposes, including tax exempt interest income, certain nondeductible expenses and net income or loss attributable to our noncontrolling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1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Net income attributable to Cal-Maine Foods, Inc. for the second quarter ended December 2, 2023, was $17.0 million, or $0.35 per basic and diluted common share, compared to net income attributable to Cal-Maine Foods, Inc. of $198.6 million, or $4.08 per basic and $4.07 per diluted common share for the same period of fiscal 2023.</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80"/>
          </w:cols>
          <w:pgMar w:left="1320" w:top="311" w:right="1299" w:bottom="1440" w:gutter="0" w:footer="0" w:header="0"/>
          <w:type w:val="continuous"/>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income attributable to Cal-Maine Foods, Inc. for the twenty-six weeks ended December 2, 2023, was $17.9 million, or $.37 per basic and diluted common share, compared to net income attributable to Cal-Maine Foods, Inc. of $323.9 million or $6.66 per basic and $6.63 per diluted common share, for the same period of fiscal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working capital at December 2, 2023 was $910.1 million, compared to $942.2 million at June 3, 2023. The calculation of working capital is defined as current assets less current liabilities. Our current ratio was 6.9 at December 2, 2023, compared with 6.2 at June 3, 2023. The current ratio is calculated by dividing current assets by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twenty-six weeks ended December 2, 2023, $74.0 million in net cash was provided by operating activities, compared to $344.8 million provided by operating activities for the comparable period in fiscal 2023. The decrease in cash flow from operating activities resulted primarily from lower selling prices for conventional eggs compared to the prior-year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8"/>
          <w:szCs w:val="18"/>
          <w:color w:val="auto"/>
        </w:rPr>
        <w:t>For the twenty-six weeks ended December 2, 2023, $32.4 million was provided by investing activities, primarily due to the sales and maturities of investment securities, partially offset by the acquisition of assets of Fassio Egg Farms, Inc. This compares to $146.7 million used in investing activities in the same period of fiscal 2023, primarily due to purchases of investment securities. Sales and maturities of investment securities were $196.1 million in first two quarters of fiscal 2024, compared to $65.3 million in the first two quarters fiscal 2023. The increase in sales and maturities of investment securities is primarily due to the maturities of short-term investments during the period. Purchases of property, plant and equipment were $66.2 million and $59.7 million in the first two quarters of fiscal 2024 and 2023, respectively, primarily reflecting progress on our construction projects.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1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We paid dividends of $37.3 million for the twenty-six weeks ended December 2, 2023 compared to $78.4 million in the same prior-year period.</w:t>
      </w:r>
    </w:p>
    <w:p>
      <w:pPr>
        <w:spacing w:after="0" w:line="150"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As of December 2, 2023, cash increased $69.0 million since June 3, 2023, compared to an increase of $119.6 million during the same period of fiscal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We had no long-term debt outstanding at December 2, 2023 or June 3, 2023. On November 15, 2021, we entered into a credit agreement that provides for a senior secured revolving credit facility (the “Credit Facility”), in an initial aggregate principal amount of up to $250 million with a five-year term. As of December 2, 2023, no amounts were borrowed under the Credit Facility. We have $4.3 million in outstanding standby letters of credit issued under our Credit Facility for the benefit of certain insurance companies. Refer to Part II Item 8, Notes to Consolidated Financial Statements and Supplementary Data, Note 10 - Credit Facility included in our 2023 Annual Report for further information regarding our long-term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1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our variable dividend policy, we will pay a cash dividend totaling approximately $5.7 million, or approximately $0.116 per share to holders of our common and Class A common stock with respect to our second fiscal quarter of 2024. The amount paid per share will vary based on the number of outstanding shares on the record date. The dividend is payable on February 15, 2024 to holders of record on January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25"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continue to monitor the increasing demand for cage-free eggs and to engage with our customers in efforts to achieve a smooth transition toward their announced timelines for cage-free egg sales. The following table presents material construction projects approved as of December 2, 2023 (in thousands):</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300"/>
          </w:cols>
          <w:pgMar w:left="1320" w:top="311" w:right="127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94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Projected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Spent 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20"/>
        </w:trPr>
        <w:tc>
          <w:tcPr>
            <w:tcW w:w="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Project(s) Type</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Completion</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Projected Cost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2, 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Projected Cost</w:t>
            </w:r>
          </w:p>
        </w:tc>
      </w:tr>
      <w:tr>
        <w:trPr>
          <w:trHeight w:val="209"/>
        </w:trPr>
        <w:tc>
          <w:tcPr>
            <w:tcW w:w="40" w:type="dxa"/>
            <w:vAlign w:val="bottom"/>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36,370</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w:t>
            </w:r>
          </w:p>
        </w:tc>
        <w:tc>
          <w:tcPr>
            <w:tcW w:w="80" w:type="dxa"/>
            <w:vAlign w:val="bottom"/>
            <w:shd w:val="clear" w:color="auto" w:fill="CCEEFF"/>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Feed Mill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w:t>
            </w:r>
          </w:p>
        </w:tc>
        <w:tc>
          <w:tcPr>
            <w:tcW w:w="8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56,732</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80" w:type="dxa"/>
            <w:vAlign w:val="bottom"/>
            <w:tcBorders>
              <w:bottom w:val="single" w:sz="8" w:color="auto"/>
            </w:tcBorders>
          </w:tcPr>
          <w:p>
            <w:pPr>
              <w:spacing w:after="0"/>
              <w:rPr>
                <w:sz w:val="20"/>
                <w:szCs w:val="20"/>
                <w:color w:val="auto"/>
              </w:rPr>
            </w:pPr>
          </w:p>
        </w:tc>
      </w:tr>
      <w:tr>
        <w:trPr>
          <w:trHeight w:val="203"/>
        </w:trPr>
        <w:tc>
          <w:tcPr>
            <w:tcW w:w="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200,902</w:t>
            </w:r>
          </w:p>
        </w:tc>
        <w:tc>
          <w:tcPr>
            <w:tcW w:w="8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127,190</w:t>
            </w:r>
          </w:p>
        </w:tc>
        <w:tc>
          <w:tcPr>
            <w:tcW w:w="10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73,712</w:t>
            </w:r>
          </w:p>
        </w:tc>
        <w:tc>
          <w:tcPr>
            <w:tcW w:w="80" w:type="dxa"/>
            <w:vAlign w:val="bottom"/>
            <w:shd w:val="clear" w:color="auto" w:fill="CCEEFF"/>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40" w:right="40"/>
        <w:spacing w:after="0" w:line="281" w:lineRule="auto"/>
        <w:rPr>
          <w:sz w:val="20"/>
          <w:szCs w:val="20"/>
          <w:color w:val="auto"/>
        </w:rPr>
      </w:pPr>
      <w:r>
        <w:rPr>
          <w:rFonts w:ascii="Times New Roman" w:cs="Times New Roman" w:eastAsia="Times New Roman" w:hAnsi="Times New Roman"/>
          <w:sz w:val="18"/>
          <w:szCs w:val="18"/>
          <w:color w:val="auto"/>
        </w:rPr>
        <w:t>We believe our current cash balances, investments, cash flows from operations, and Credit Facility will be sufficient to fund our current cash needs for at least the next 12 months.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IMPACT OF RECENTLY ISSUED/ADOPTED ACCOUNTING STANDARDS</w:t>
      </w:r>
    </w:p>
    <w:p>
      <w:pPr>
        <w:spacing w:after="0" w:line="225" w:lineRule="exact"/>
        <w:rPr>
          <w:sz w:val="20"/>
          <w:szCs w:val="20"/>
          <w:color w:val="auto"/>
        </w:rPr>
      </w:pPr>
    </w:p>
    <w:p>
      <w:pPr>
        <w:jc w:val="both"/>
        <w:ind w:left="40" w:right="40"/>
        <w:spacing w:after="0" w:line="281" w:lineRule="auto"/>
        <w:rPr>
          <w:sz w:val="20"/>
          <w:szCs w:val="20"/>
          <w:color w:val="auto"/>
        </w:rPr>
      </w:pPr>
      <w:r>
        <w:rPr>
          <w:rFonts w:ascii="Times New Roman" w:cs="Times New Roman" w:eastAsia="Times New Roman" w:hAnsi="Times New Roman"/>
          <w:sz w:val="18"/>
          <w:szCs w:val="18"/>
          <w:color w:val="auto"/>
        </w:rPr>
        <w:t xml:space="preserve">For information on changes in accounting principles and new accounting policies, see </w:t>
      </w:r>
      <w:r>
        <w:rPr>
          <w:rFonts w:ascii="Times New Roman" w:cs="Times New Roman" w:eastAsia="Times New Roman" w:hAnsi="Times New Roman"/>
          <w:sz w:val="18"/>
          <w:szCs w:val="18"/>
          <w:u w:val="single" w:color="auto"/>
          <w:color w:val="0000FF"/>
        </w:rPr>
        <w:t>Note 1 -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ind w:left="40" w:right="20"/>
        <w:spacing w:after="0" w:line="255"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2023 Annual Report.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left="40" w:right="26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thirteen weeks ended December 2, 2023 from the information provided in Part II Item 7A, Quantitative and Qualitative Disclosures About Market Risk in our 2023 Annual Report.</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December 2, 2023 at the reasonable assurance level.</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December 2, 2023 that has materially affected, or is reasonably likely to materially affect, our internal control over financial reporting.</w:t>
      </w:r>
    </w:p>
    <w:p>
      <w:pPr>
        <w:sectPr>
          <w:pgSz w:w="11900" w:h="16838" w:orient="portrait"/>
          <w:cols w:equalWidth="0" w:num="1">
            <w:col w:w="9300"/>
          </w:cols>
          <w:pgMar w:left="128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300"/>
          </w:cols>
          <w:pgMar w:left="1280" w:top="297" w:right="131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spacing w:after="0" w:line="255"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2023 Annual Report, Part I Item 3 Legal Proceedings, and Part II Item 8, Notes to Consolidated Financial Statements and Supplementary Data, Note 16 - Commitments and Contingencies, and (ii) in this Quarterly Report in </w:t>
      </w:r>
      <w:r>
        <w:rPr>
          <w:rFonts w:ascii="Times New Roman" w:cs="Times New Roman" w:eastAsia="Times New Roman" w:hAnsi="Times New Roman"/>
          <w:sz w:val="18"/>
          <w:szCs w:val="18"/>
          <w:u w:val="single" w:color="auto"/>
          <w:color w:val="0000FF"/>
        </w:rPr>
        <w:t>Note 10 -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which discussions are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the Company’s 2023 Annual Report, except as reported herein in Part I Item 2 under the heading “HPAI.”</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18"/>
          <w:szCs w:val="18"/>
          <w:color w:val="auto"/>
        </w:rPr>
        <w:t>There were no purchases of Common Stock made by or on behalf of our Company or any affiliated purchaser during the second quarter of fiscal 2024.</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w:t>
            </w:r>
          </w:p>
        </w:tc>
        <w:tc>
          <w:tcPr>
            <w:tcW w:w="78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gridSpan w:val="2"/>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0" w:type="dxa"/>
            <w:vAlign w:val="bottom"/>
            <w:shd w:val="clear" w:color="auto" w:fill="CCEEFF"/>
          </w:tcPr>
          <w:p>
            <w:pPr>
              <w:spacing w:after="0"/>
              <w:rPr>
                <w:sz w:val="16"/>
                <w:szCs w:val="16"/>
                <w:color w:val="auto"/>
              </w:rPr>
            </w:pPr>
          </w:p>
        </w:tc>
        <w:tc>
          <w:tcPr>
            <w:tcW w:w="784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Second Amended and Restated Certificate of Incorporation of the Registrant (incorporated by reference to</w:t>
              </w:r>
            </w:hyperlink>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5540" w:type="dxa"/>
            <w:vAlign w:val="bottom"/>
            <w:tcBorders>
              <w:top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Exhibit 3.1 in the Registrant’s Form 8-K, filed July 20, 2018)</w:t>
              </w:r>
            </w:hyperlink>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12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CCEE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6"/>
        </w:trPr>
        <w:tc>
          <w:tcPr>
            <w:tcW w:w="40" w:type="dxa"/>
            <w:vAlign w:val="bottom"/>
          </w:tcPr>
          <w:p>
            <w:pPr>
              <w:spacing w:after="0"/>
              <w:rPr>
                <w:sz w:val="15"/>
                <w:szCs w:val="15"/>
                <w:color w:val="auto"/>
              </w:rPr>
            </w:pPr>
          </w:p>
        </w:tc>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rPr>
                <w:sz w:val="15"/>
                <w:szCs w:val="15"/>
                <w:color w:val="auto"/>
              </w:rPr>
            </w:pPr>
          </w:p>
        </w:tc>
        <w:tc>
          <w:tcPr>
            <w:tcW w:w="7840" w:type="dxa"/>
            <w:vAlign w:val="bottom"/>
            <w:gridSpan w:val="15"/>
          </w:tcPr>
          <w:p>
            <w:pPr>
              <w:spacing w:after="0" w:line="17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Composite Bylaws of the Company (incorporated by reference to Exhibit 3.2 in the Registrant’s Form 10-Q</w:t>
              </w:r>
            </w:hyperlink>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30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for the quarter ended March 2, 2013, filed April 5, 2013)</w:t>
              </w:r>
            </w:hyperlink>
          </w:p>
        </w:tc>
        <w:tc>
          <w:tcPr>
            <w:tcW w:w="20" w:type="dxa"/>
            <w:vAlign w:val="bottom"/>
          </w:tcPr>
          <w:p>
            <w:pPr>
              <w:spacing w:after="0"/>
              <w:rPr>
                <w:sz w:val="15"/>
                <w:szCs w:val="15"/>
                <w:color w:val="auto"/>
              </w:rPr>
            </w:pPr>
          </w:p>
        </w:tc>
        <w:tc>
          <w:tcPr>
            <w:tcW w:w="1100" w:type="dxa"/>
            <w:vAlign w:val="bottom"/>
            <w:tcBorders>
              <w:top w:val="single" w:sz="8" w:color="0000FF"/>
            </w:tcBorders>
            <w:gridSpan w:val="3"/>
          </w:tcPr>
          <w:p>
            <w:pPr>
              <w:spacing w:after="0"/>
              <w:rPr>
                <w:sz w:val="15"/>
                <w:szCs w:val="15"/>
                <w:color w:val="auto"/>
              </w:rPr>
            </w:pPr>
          </w:p>
        </w:tc>
        <w:tc>
          <w:tcPr>
            <w:tcW w:w="132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Executive Officer</w:t>
            </w:r>
          </w:p>
        </w:tc>
        <w:tc>
          <w:tcPr>
            <w:tcW w:w="3580" w:type="dxa"/>
            <w:vAlign w:val="bottom"/>
            <w:tcBorders>
              <w:bottom w:val="single" w:sz="8" w:color="CCEEFF"/>
            </w:tcBorders>
            <w:gridSpan w:val="9"/>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1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Rule 13a-14(a) Certification of the Chief Financial Officer</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8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the Chief Executive Officer and the Chief Financial Officer</w:t>
            </w: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4160" w:type="dxa"/>
            <w:vAlign w:val="bottom"/>
            <w:tcBorders>
              <w:top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 w:type="dxa"/>
            <w:vAlign w:val="bottom"/>
            <w:tcBorders>
              <w:top w:val="single" w:sz="8" w:color="CCEEFF"/>
            </w:tcBorders>
          </w:tcPr>
          <w:p>
            <w:pPr>
              <w:spacing w:after="0"/>
              <w:rPr>
                <w:sz w:val="17"/>
                <w:szCs w:val="17"/>
                <w:color w:val="auto"/>
              </w:rPr>
            </w:pPr>
          </w:p>
        </w:tc>
        <w:tc>
          <w:tcPr>
            <w:tcW w:w="2220" w:type="dxa"/>
            <w:vAlign w:val="bottom"/>
            <w:tcBorders>
              <w:top w:val="single" w:sz="8" w:color="0000FF"/>
            </w:tcBorders>
            <w:gridSpan w:val="7"/>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78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02"/>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2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7"/>
                <w:szCs w:val="17"/>
                <w:color w:val="auto"/>
              </w:rPr>
            </w:pP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as an Exhibit.</w:t>
      </w:r>
    </w:p>
    <w:p>
      <w:pPr>
        <w:spacing w:after="0" w:line="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340"/>
          </w:cols>
          <w:pgMar w:left="1280" w:top="311" w:right="127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3, 2024</w:t>
      </w:r>
      <w:r>
        <w:rPr>
          <w:sz w:val="20"/>
          <w:szCs w:val="20"/>
          <w:color w:val="auto"/>
        </w:rPr>
        <w:tab/>
      </w:r>
      <w:r>
        <w:rPr>
          <w:rFonts w:ascii="Times New Roman" w:cs="Times New Roman" w:eastAsia="Times New Roman" w:hAnsi="Times New Roman"/>
          <w:sz w:val="17"/>
          <w:szCs w:val="17"/>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January 3, 2024</w:t>
      </w:r>
      <w:r>
        <w:rPr>
          <w:sz w:val="20"/>
          <w:szCs w:val="20"/>
          <w:color w:val="auto"/>
        </w:rPr>
        <w:tab/>
      </w:r>
      <w:r>
        <w:rPr>
          <w:rFonts w:ascii="Times New Roman" w:cs="Times New Roman" w:eastAsia="Times New Roman" w:hAnsi="Times New Roman"/>
          <w:sz w:val="17"/>
          <w:szCs w:val="17"/>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40"/>
          </w:cols>
          <w:pgMar w:left="132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40"/>
          </w:cols>
          <w:pgMar w:left="1320" w:top="311" w:right="13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Sherman L. Miller,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580" w:right="240" w:hanging="248"/>
        <w:spacing w:after="0" w:line="260" w:lineRule="auto"/>
        <w:tabs>
          <w:tab w:leader="none" w:pos="5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580" w:right="160" w:hanging="248"/>
        <w:spacing w:after="0" w:line="288" w:lineRule="auto"/>
        <w:tabs>
          <w:tab w:leader="none" w:pos="56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580" w:right="40" w:hanging="248"/>
        <w:spacing w:after="0" w:line="265" w:lineRule="auto"/>
        <w:tabs>
          <w:tab w:leader="none" w:pos="5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580" w:right="140" w:hanging="248"/>
        <w:spacing w:after="0" w:line="260" w:lineRule="auto"/>
        <w:tabs>
          <w:tab w:leader="none" w:pos="6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580" w:right="40" w:hanging="248"/>
        <w:spacing w:after="0" w:line="265" w:lineRule="auto"/>
        <w:tabs>
          <w:tab w:leader="none" w:pos="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580" w:right="320" w:hanging="248"/>
        <w:spacing w:after="0" w:line="281" w:lineRule="auto"/>
        <w:tabs>
          <w:tab w:leader="none" w:pos="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3, 2024</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660" w:right="80" w:hanging="328"/>
        <w:spacing w:after="0" w:line="288" w:lineRule="auto"/>
        <w:tabs>
          <w:tab w:leader="none" w:pos="6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660" w:right="260" w:hanging="328"/>
        <w:spacing w:after="0" w:line="265"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660" w:right="420" w:hanging="328"/>
        <w:spacing w:after="0" w:line="265"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January 3, 2024</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December 2,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3, 2024</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8" Type="http://schemas.openxmlformats.org/officeDocument/2006/relationships/hyperlink" Target="http://www.sec.gov/Archives/edgar/data/16160/000001616018000066/exhibit31secondamendedandr.htm" TargetMode="External"/><Relationship Id="rId39" Type="http://schemas.openxmlformats.org/officeDocument/2006/relationships/hyperlink" Target="http://www.sec.gov/Archives/edgar/data/16160/000114420413020363/v34063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2024-01-03T15:16:42Z</dcterms:created>
  <dcterms:modified xsi:type="dcterms:W3CDTF">2024-01-03T15:16:42Z</dcterms:modified>
</cp:coreProperties>
</file>