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40" w:after="40"/>
        <w:jc w:val="left"/>
        <w:rPr>
          <w:color w:val="000000"/>
          <w:bdr w:val="single" w:sz="32" w:space="1" w:color="000000"/>
        </w:rPr>
      </w:pPr>
      <w:bookmarkStart w:id="0" w:name="ny20077563x2_defa14a.htm"/>
      <w:bookmarkStart w:id="1" w:name="ksny20077563x2_defa14a"/>
      <w:bookmarkEnd w:id="0"/>
      <w:bookmarkEnd w:id="1"/>
      <w:r>
        <w:rPr>
          <w:color w:val="000000"/>
          <w:bdr w:val="single" w:sz="32" w:space="1" w:color="000000"/>
        </w:rPr>
        <w:t> 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</w:rPr>
      </w:pPr>
      <w:r>
        <w:rPr>
          <w:caps w:val="false"/>
          <w:smallCaps w:val="false"/>
          <w:color w:val="000000"/>
        </w:rPr>
        <w:t> 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color w:val="000000"/>
          <w:sz w:val="28"/>
        </w:rPr>
      </w:pPr>
      <w:r>
        <w:rPr>
          <w:rFonts w:ascii="Times New Roman" w:hAnsi="Times New Roman"/>
          <w:b/>
          <w:color w:val="000000"/>
          <w:sz w:val="28"/>
        </w:rPr>
        <w:t>UNITED STATES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color w:val="000000"/>
          <w:sz w:val="28"/>
        </w:rPr>
      </w:pPr>
      <w:r>
        <w:rPr>
          <w:rFonts w:ascii="Times New Roman" w:hAnsi="Times New Roman"/>
          <w:b/>
          <w:color w:val="000000"/>
          <w:sz w:val="28"/>
        </w:rPr>
        <w:t>SECURITIES AND EXCHANGE COMMISSION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color w:val="000000"/>
          <w:sz w:val="24"/>
        </w:rPr>
      </w:pPr>
      <w:r>
        <w:rPr>
          <w:rFonts w:ascii="Times New Roman" w:hAnsi="Times New Roman"/>
          <w:b/>
          <w:color w:val="000000"/>
          <w:sz w:val="24"/>
        </w:rPr>
        <w:t>WASHINGTON, D.C. 20549</w:t>
      </w:r>
    </w:p>
    <w:p>
      <w:pPr>
        <w:pStyle w:val="TextBody"/>
        <w:bidi w:val="0"/>
        <w:spacing w:before="0" w:after="0"/>
        <w:jc w:val="left"/>
        <w:rPr>
          <w:color w:val="000000"/>
        </w:rPr>
      </w:pPr>
      <w:r>
        <w:rPr>
          <w:color w:val="000000"/>
        </w:rPr>
        <w:t>   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color w:val="000000"/>
          <w:sz w:val="32"/>
        </w:rPr>
      </w:pPr>
      <w:r>
        <w:rPr>
          <w:rFonts w:ascii="Times New Roman" w:hAnsi="Times New Roman"/>
          <w:b/>
          <w:color w:val="000000"/>
          <w:sz w:val="32"/>
        </w:rPr>
        <w:t>SCHEDULE 14A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color w:val="000000"/>
          <w:sz w:val="20"/>
        </w:rPr>
      </w:pPr>
      <w:r>
        <w:rPr>
          <w:rFonts w:ascii="Times New Roman" w:hAnsi="Times New Roman"/>
          <w:b/>
          <w:color w:val="000000"/>
          <w:sz w:val="20"/>
        </w:rPr>
        <w:t>Proxy Statement Pursuant to Section 14(a) of the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color w:val="000000"/>
          <w:sz w:val="20"/>
        </w:rPr>
      </w:pPr>
      <w:r>
        <w:rPr>
          <w:rFonts w:ascii="Times New Roman" w:hAnsi="Times New Roman"/>
          <w:b/>
          <w:color w:val="000000"/>
          <w:sz w:val="20"/>
        </w:rPr>
        <w:t>Securities Exchange Act of 1934</w:t>
      </w:r>
    </w:p>
    <w:p>
      <w:pPr>
        <w:pStyle w:val="TextBody"/>
        <w:bidi w:val="0"/>
        <w:spacing w:before="0" w:after="0"/>
        <w:jc w:val="left"/>
        <w:rPr>
          <w:color w:val="000000"/>
        </w:rPr>
      </w:pPr>
      <w:r>
        <w:rPr>
          <w:color w:val="000000"/>
        </w:rPr>
        <w:t>   </w:t>
      </w:r>
    </w:p>
    <w:tbl>
      <w:tblPr>
        <w:tblW w:w="695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615"/>
        <w:gridCol w:w="4340"/>
      </w:tblGrid>
      <w:tr>
        <w:trPr/>
        <w:tc>
          <w:tcPr>
            <w:tcW w:w="261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Filed by the Registrant ☒</w:t>
            </w:r>
          </w:p>
        </w:tc>
        <w:tc>
          <w:tcPr>
            <w:tcW w:w="434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Filed by a Party other than the Registrant ☐</w:t>
            </w:r>
          </w:p>
        </w:tc>
      </w:tr>
    </w:tbl>
    <w:p>
      <w:pPr>
        <w:pStyle w:val="TextBody"/>
        <w:bidi w:val="0"/>
        <w:spacing w:before="0" w:after="0"/>
        <w:jc w:val="left"/>
        <w:rPr>
          <w:color w:val="000000"/>
        </w:rPr>
      </w:pPr>
      <w:r>
        <w:rPr>
          <w:color w:val="000000"/>
        </w:rPr>
        <w:t>  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Check the appropriate box:</w:t>
      </w:r>
    </w:p>
    <w:p>
      <w:pPr>
        <w:pStyle w:val="TextBody"/>
        <w:bidi w:val="0"/>
        <w:spacing w:before="0" w:after="0"/>
        <w:jc w:val="left"/>
        <w:rPr>
          <w:color w:val="000000"/>
        </w:rPr>
      </w:pPr>
      <w:r>
        <w:rPr>
          <w:color w:val="000000"/>
        </w:rPr>
        <w:t>   </w:t>
      </w:r>
    </w:p>
    <w:tbl>
      <w:tblPr>
        <w:tblW w:w="299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5"/>
        <w:gridCol w:w="2750"/>
      </w:tblGrid>
      <w:tr>
        <w:trPr/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275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Preliminary Proxy Statement</w:t>
            </w:r>
          </w:p>
        </w:tc>
      </w:tr>
    </w:tbl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</w:r>
    </w:p>
    <w:tbl>
      <w:tblPr>
        <w:tblW w:w="835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5"/>
        <w:gridCol w:w="8105"/>
      </w:tblGrid>
      <w:tr>
        <w:trPr/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810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Confidential, for Use of the Commission Only (as permitted by Rule 14a-6(e)(2))</w:t>
            </w:r>
          </w:p>
        </w:tc>
      </w:tr>
    </w:tbl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</w:r>
    </w:p>
    <w:tbl>
      <w:tblPr>
        <w:tblW w:w="284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5"/>
        <w:gridCol w:w="2600"/>
      </w:tblGrid>
      <w:tr>
        <w:trPr/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260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Definitive Proxy Statement</w:t>
            </w:r>
          </w:p>
        </w:tc>
      </w:tr>
    </w:tbl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</w:r>
    </w:p>
    <w:tbl>
      <w:tblPr>
        <w:tblW w:w="322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5"/>
        <w:gridCol w:w="2975"/>
      </w:tblGrid>
      <w:tr>
        <w:trPr/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☒</w:t>
            </w:r>
          </w:p>
        </w:tc>
        <w:tc>
          <w:tcPr>
            <w:tcW w:w="297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Definitive Additional Materials</w:t>
            </w:r>
          </w:p>
        </w:tc>
      </w:tr>
    </w:tbl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</w:r>
    </w:p>
    <w:tbl>
      <w:tblPr>
        <w:tblW w:w="440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5"/>
        <w:gridCol w:w="4160"/>
      </w:tblGrid>
      <w:tr>
        <w:trPr/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416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Soliciting Material Pursuant to §240.14a-12</w:t>
            </w:r>
          </w:p>
        </w:tc>
      </w:tr>
    </w:tbl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</w:r>
    </w:p>
    <w:tbl>
      <w:tblPr>
        <w:tblW w:w="731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310"/>
      </w:tblGrid>
      <w:tr>
        <w:trPr/>
        <w:tc>
          <w:tcPr>
            <w:tcW w:w="731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center"/>
              <w:rPr>
                <w:rFonts w:ascii="Times New Roman" w:hAnsi="Times New Roman"/>
                <w:b/>
                <w:color w:val="000000"/>
                <w:sz w:val="48"/>
              </w:rPr>
            </w:pPr>
            <w:r>
              <w:rPr>
                <w:rFonts w:ascii="Times New Roman" w:hAnsi="Times New Roman"/>
                <w:b/>
                <w:color w:val="000000"/>
                <w:sz w:val="48"/>
              </w:rPr>
              <w:t>Cal-Maine Foods, Inc.</w:t>
            </w:r>
          </w:p>
        </w:tc>
      </w:tr>
      <w:tr>
        <w:trPr/>
        <w:tc>
          <w:tcPr>
            <w:tcW w:w="731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(Name of Registrant as Specified In Its Charter)</w:t>
            </w:r>
          </w:p>
        </w:tc>
      </w:tr>
      <w:tr>
        <w:trPr/>
        <w:tc>
          <w:tcPr>
            <w:tcW w:w="731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731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(Name of Person(s) Filing Proxy Statement, if other than the Registrant)</w:t>
            </w:r>
          </w:p>
        </w:tc>
      </w:tr>
    </w:tbl>
    <w:p>
      <w:pPr>
        <w:pStyle w:val="TextBody"/>
        <w:bidi w:val="0"/>
        <w:spacing w:before="0" w:after="0"/>
        <w:jc w:val="left"/>
        <w:rPr>
          <w:color w:val="000000"/>
        </w:rPr>
      </w:pPr>
      <w:r>
        <w:rPr>
          <w:color w:val="000000"/>
        </w:rPr>
        <w:t>  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>Payment of Filing Fee (Check the appropriate box):</w:t>
      </w:r>
    </w:p>
    <w:p>
      <w:pPr>
        <w:pStyle w:val="TextBody"/>
        <w:bidi w:val="0"/>
        <w:spacing w:before="0" w:after="0"/>
        <w:jc w:val="left"/>
        <w:rPr>
          <w:color w:val="000000"/>
        </w:rPr>
      </w:pPr>
      <w:r>
        <w:rPr>
          <w:color w:val="000000"/>
        </w:rPr>
        <w:t xml:space="preserve">  </w:t>
      </w:r>
    </w:p>
    <w:tbl>
      <w:tblPr>
        <w:tblW w:w="961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0"/>
        <w:gridCol w:w="9380"/>
      </w:tblGrid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☒</w:t>
            </w:r>
          </w:p>
        </w:tc>
        <w:tc>
          <w:tcPr>
            <w:tcW w:w="938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No fee required.</w:t>
            </w:r>
          </w:p>
        </w:tc>
      </w:tr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38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938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Fee paid previously with preliminary materials.</w:t>
            </w:r>
          </w:p>
        </w:tc>
      </w:tr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38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938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Fee computed on table in exhibit required by Item 25(b) per Exchange Act Rules 14a-6(i) and 0-11</w:t>
            </w:r>
          </w:p>
        </w:tc>
      </w:tr>
    </w:tbl>
    <w:p>
      <w:pPr>
        <w:pStyle w:val="TextBody"/>
        <w:bidi w:val="0"/>
        <w:spacing w:before="0" w:after="0"/>
        <w:jc w:val="left"/>
        <w:rPr>
          <w:color w:val="000000"/>
        </w:rPr>
      </w:pPr>
      <w:r>
        <w:rPr>
          <w:color w:val="000000"/>
        </w:rPr>
        <w:t xml:space="preserve">  </w:t>
      </w:r>
    </w:p>
    <w:p>
      <w:pPr>
        <w:pStyle w:val="HorizontalLine"/>
        <w:bidi w:val="0"/>
        <w:jc w:val="left"/>
        <w:rPr/>
      </w:pPr>
      <w:r>
        <w:rPr/>
      </w:r>
    </w:p>
    <w:p>
      <w:pPr>
        <w:pStyle w:val="HorizontalLine"/>
        <w:pBdr>
          <w:bottom w:val="single" w:sz="12" w:space="0" w:color="808080"/>
        </w:pBdr>
        <w:bidi w:val="0"/>
        <w:spacing w:before="200" w:after="200"/>
        <w:jc w:val="left"/>
        <w:rPr/>
      </w:pPr>
      <w:r>
        <w:rPr/>
      </w:r>
    </w:p>
    <w:p>
      <w:pPr>
        <w:pStyle w:val="TextBody"/>
        <w:bidi w:val="0"/>
        <w:spacing w:before="0" w:after="0"/>
        <w:jc w:val="center"/>
        <w:rPr>
          <w:color w:val="000000"/>
        </w:rPr>
      </w:pPr>
      <w:r>
        <w:rPr>
          <w:color w:val="000000"/>
        </w:rPr>
        <w:drawing>
          <wp:inline distT="0" distB="0" distL="0" distR="0">
            <wp:extent cx="6858000" cy="8324850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832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HorizontalLine"/>
        <w:pBdr>
          <w:bottom w:val="single" w:sz="12" w:space="0" w:color="808080"/>
        </w:pBdr>
        <w:bidi w:val="0"/>
        <w:spacing w:before="200" w:after="200"/>
        <w:jc w:val="left"/>
        <w:rPr/>
      </w:pPr>
      <w:r>
        <w:rPr/>
      </w:r>
    </w:p>
    <w:p>
      <w:pPr>
        <w:pStyle w:val="TextBody"/>
        <w:bidi w:val="0"/>
        <w:spacing w:before="0" w:after="0"/>
        <w:jc w:val="center"/>
        <w:rPr>
          <w:color w:val="000000"/>
        </w:rPr>
      </w:pPr>
      <w:r>
        <w:rPr>
          <w:color w:val="000000"/>
        </w:rPr>
        <w:drawing>
          <wp:inline distT="0" distB="0" distL="0" distR="0">
            <wp:extent cx="6858000" cy="8763000"/>
            <wp:effectExtent l="0" t="0" r="0" b="0"/>
            <wp:docPr id="2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876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132</Words>
  <Characters>716</Characters>
  <CharactersWithSpaces>844</CharactersWithSpaces>
  <Paragraphs>44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